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Default="00357DD7" w:rsidP="007024DB">
      <w:pPr>
        <w:spacing w:before="0" w:after="0"/>
        <w:jc w:val="both"/>
        <w:rPr>
          <w:b w:val="0"/>
          <w:color w:val="5C1E34" w:themeColor="accent1" w:themeShade="80"/>
          <w:sz w:val="20"/>
        </w:rPr>
      </w:pPr>
    </w:p>
    <w:p w:rsidR="006A0804" w:rsidRDefault="006A0804" w:rsidP="007024DB">
      <w:pPr>
        <w:spacing w:before="0" w:after="0"/>
        <w:jc w:val="both"/>
        <w:rPr>
          <w:b w:val="0"/>
          <w:color w:val="5C1E34" w:themeColor="accent1" w:themeShade="80"/>
          <w:sz w:val="20"/>
        </w:rPr>
      </w:pPr>
    </w:p>
    <w:p w:rsidR="006A0804" w:rsidRDefault="006A0804" w:rsidP="007024DB">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Marguerite Fund</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Je nezávislý investičný fond, ktorý sa venuje výstavbe nových investičných celkov v troch oblastiach (65% finančnej kapacity fondu):</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1. dopravná infraštruktúra (TEN-T)</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cesty</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železnice</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vnútrozemská sieť vodovodov</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prístavy</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letiská</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dopravné uzly</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TEN-T je zaužívaný názov pre celoeurópske dopravné koridory. ide o vopred určené trasy hlavných európskych cestných a železničných koridorov, letísk a prístavov a pod. O podporu pre tento typ investície sa môžu uchádzať štáty, resp. nimi poverené spoločnosti (napr. ŽSR), prípadne firmy v rámci PPP projektov.</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2. energetika (TEN-E)</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elektrické a plynové dopravníky, vrátane prepojení (napr. transformačné stanice vysokého napätia)</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rozvody elektriny a plynu</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zásobníky nafty a zemného plynu</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výroba elektriny, plynu a ropy</w:t>
      </w:r>
    </w:p>
    <w:p w:rsidR="006A0804" w:rsidRPr="006A0804" w:rsidRDefault="006A0804" w:rsidP="006A0804">
      <w:pPr>
        <w:numPr>
          <w:ilvl w:val="0"/>
          <w:numId w:val="2"/>
        </w:numPr>
        <w:spacing w:before="0" w:after="0"/>
        <w:jc w:val="both"/>
        <w:rPr>
          <w:b w:val="0"/>
          <w:color w:val="5C1E34" w:themeColor="accent1" w:themeShade="80"/>
          <w:sz w:val="20"/>
        </w:rPr>
      </w:pPr>
      <w:r w:rsidRPr="006A0804">
        <w:rPr>
          <w:b w:val="0"/>
          <w:color w:val="5C1E34" w:themeColor="accent1" w:themeShade="80"/>
          <w:sz w:val="20"/>
        </w:rPr>
        <w:t>zachytávanie uhlíkov a ich uskladnenie (Carbon capture and storage)</w:t>
      </w:r>
    </w:p>
    <w:p w:rsidR="006A0804" w:rsidRPr="006A0804" w:rsidRDefault="006A0804" w:rsidP="006A0804">
      <w:pPr>
        <w:spacing w:before="0" w:after="0"/>
        <w:jc w:val="both"/>
        <w:rPr>
          <w:b w:val="0"/>
          <w:color w:val="5C1E34" w:themeColor="accent1" w:themeShade="80"/>
          <w:sz w:val="20"/>
        </w:rPr>
      </w:pPr>
    </w:p>
    <w:p w:rsidR="006A0804" w:rsidRPr="008F0B5C" w:rsidRDefault="006A0804" w:rsidP="006A0804">
      <w:pPr>
        <w:spacing w:before="0" w:after="0"/>
        <w:jc w:val="both"/>
        <w:rPr>
          <w:b w:val="0"/>
          <w:color w:val="5C1E34" w:themeColor="accent1" w:themeShade="80"/>
          <w:sz w:val="16"/>
          <w:szCs w:val="16"/>
        </w:rPr>
      </w:pPr>
      <w:r w:rsidRPr="008F0B5C">
        <w:rPr>
          <w:b w:val="0"/>
          <w:color w:val="5C1E34" w:themeColor="accent1" w:themeShade="80"/>
          <w:sz w:val="16"/>
          <w:szCs w:val="16"/>
        </w:rPr>
        <w:t>* TEN-E je zaužívaný názov pre celoeurópske koridory v oblasti energetiky. ide o vopred určené rozvody elektriny, plynu, ropy a nafty, vrátane zásobníkov. O podporu pre tento typ investície sa môžu uchádzať štáty, resp. nimi poverené spoločnosti (napr. Národná diaľničná spoločnosť), prípadne firmy v rámci PPP projektov.</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3. obnoviteľné zdroje energie</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trvalo udržateľná výroba energie</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infraštruktúra čistej dopravy</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rozvody elektriny a systémy hybridnej dopravy</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veterné, slnečné, geotermálne</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biomasa, bioplyn, voda</w:t>
      </w:r>
    </w:p>
    <w:p w:rsidR="006A0804" w:rsidRPr="006A0804" w:rsidRDefault="006A0804" w:rsidP="006A0804">
      <w:pPr>
        <w:numPr>
          <w:ilvl w:val="0"/>
          <w:numId w:val="3"/>
        </w:numPr>
        <w:spacing w:before="0" w:after="0"/>
        <w:jc w:val="both"/>
        <w:rPr>
          <w:b w:val="0"/>
          <w:color w:val="5C1E34" w:themeColor="accent1" w:themeShade="80"/>
          <w:sz w:val="20"/>
        </w:rPr>
      </w:pPr>
      <w:r w:rsidRPr="006A0804">
        <w:rPr>
          <w:b w:val="0"/>
          <w:color w:val="5C1E34" w:themeColor="accent1" w:themeShade="80"/>
          <w:sz w:val="20"/>
        </w:rPr>
        <w:t>projekty premeny odpadu na energiu</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o tento typ investície sa môže uchádzať ktokoľvek, koho projekt vecne aj objemovo (výškou investície) spĺňa základné požiadavky fondu, žiadateľom môže byť štát, mesto, obec, región, súkromná firma, prípadne konzorcium viacerých subjektov.</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Investície do existujúcich zariadení – ich náhrada, modernizácia a posilnenie kapacity je tiež možné. Na tieto účely je vyčlenených 35% finančnej kapacity fondu v rovnakých oblastiach.</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Základnou filozofiou fondu je združiť súkromný kapitál (najmä bankový) pre investície do veľkých infraštruktúrnych projektov formou komerčných úverov. Fond by mal byť vzorom pre ďalšie menšie fondy, ktoré by združovali súkromný kapitál a používali by ho ako investície v oblastiach záujmu verejného a štátneho sektoru.</w:t>
      </w:r>
    </w:p>
    <w:p w:rsidR="00A11EA7" w:rsidRDefault="00A11EA7" w:rsidP="006A0804">
      <w:pPr>
        <w:spacing w:before="0" w:after="0"/>
        <w:jc w:val="both"/>
        <w:rPr>
          <w:b w:val="0"/>
          <w:color w:val="5C1E34" w:themeColor="accent1" w:themeShade="80"/>
          <w:sz w:val="20"/>
        </w:rPr>
      </w:pPr>
    </w:p>
    <w:p w:rsidR="00A11EA7" w:rsidRDefault="00A11EA7" w:rsidP="006A0804">
      <w:pPr>
        <w:spacing w:before="0" w:after="0"/>
        <w:jc w:val="both"/>
        <w:rPr>
          <w:b w:val="0"/>
          <w:color w:val="5C1E34" w:themeColor="accent1" w:themeShade="80"/>
          <w:sz w:val="20"/>
        </w:rPr>
      </w:pPr>
    </w:p>
    <w:p w:rsidR="00A11EA7" w:rsidRDefault="00A11EA7" w:rsidP="006A0804">
      <w:pPr>
        <w:spacing w:before="0" w:after="0"/>
        <w:jc w:val="both"/>
        <w:rPr>
          <w:b w:val="0"/>
          <w:color w:val="5C1E34" w:themeColor="accent1" w:themeShade="80"/>
          <w:sz w:val="20"/>
        </w:rPr>
      </w:pPr>
    </w:p>
    <w:p w:rsidR="00A11EA7" w:rsidRDefault="00A11EA7" w:rsidP="006A0804">
      <w:pPr>
        <w:spacing w:before="0" w:after="0"/>
        <w:jc w:val="both"/>
        <w:rPr>
          <w:b w:val="0"/>
          <w:color w:val="5C1E34" w:themeColor="accent1" w:themeShade="80"/>
          <w:sz w:val="20"/>
        </w:rPr>
      </w:pPr>
    </w:p>
    <w:p w:rsidR="00A11EA7" w:rsidRDefault="00A11EA7"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Fond investuje výlučne na území 27 štátov EU a rozpočtovo predpokladá investovať približne tretinu svojich zdrojov na každú z troch prioritných oblastí.</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Rozdelenie zdrojov:</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1. dopravná infraštruktúra 30% - 40%</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2. energetika 25% - 35%</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3. obnoviteľné zdroje 35% - 45%</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Podmienky financovania:</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min. 10 mil. EUR a max. 10% celkovej veľkosti fondu</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nie viac ako 20% celkového rozpočtu fondu bude investovaných do jednej krajiny</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zameranie na projekty z celkovými odhadovanými nákladmi viac ako 200 mil. EUR v oblastiach 1. a 2. a viac ako 50 mil. EUR v oblasti 3.</w:t>
      </w:r>
    </w:p>
    <w:p w:rsidR="006A0804" w:rsidRPr="006A0804" w:rsidRDefault="006A0804" w:rsidP="006A0804">
      <w:pPr>
        <w:spacing w:before="0" w:after="0"/>
        <w:jc w:val="both"/>
        <w:rPr>
          <w:b w:val="0"/>
          <w:color w:val="5C1E34" w:themeColor="accent1" w:themeShade="80"/>
          <w:sz w:val="20"/>
        </w:rPr>
      </w:pPr>
      <w:r w:rsidRPr="006A0804">
        <w:rPr>
          <w:b w:val="0"/>
          <w:color w:val="5C1E34" w:themeColor="accent1" w:themeShade="80"/>
          <w:sz w:val="20"/>
        </w:rPr>
        <w:t xml:space="preserve">- aktívne zapojenie sa celého tímu odborníkov fondu počas celej doby trvania projektu, teda nie iba poskytnutie equity </w:t>
      </w: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p>
    <w:p w:rsidR="006A0804" w:rsidRPr="006A0804" w:rsidRDefault="006A0804" w:rsidP="006A0804">
      <w:pPr>
        <w:spacing w:before="0" w:after="0"/>
        <w:jc w:val="both"/>
        <w:rPr>
          <w:b w:val="0"/>
          <w:color w:val="5C1E34" w:themeColor="accent1" w:themeShade="80"/>
          <w:sz w:val="20"/>
        </w:rPr>
      </w:pPr>
      <w:r w:rsidRPr="006A0804">
        <w:rPr>
          <w:bCs/>
          <w:color w:val="5C1E34" w:themeColor="accent1" w:themeShade="80"/>
          <w:sz w:val="20"/>
        </w:rPr>
        <w:t>Bližšie informácie:</w:t>
      </w:r>
    </w:p>
    <w:p w:rsidR="006A0804" w:rsidRPr="006A0804" w:rsidRDefault="006A0804" w:rsidP="006A0804">
      <w:pPr>
        <w:spacing w:before="0" w:after="0"/>
        <w:jc w:val="both"/>
        <w:rPr>
          <w:b w:val="0"/>
          <w:color w:val="5C1E34" w:themeColor="accent1" w:themeShade="80"/>
          <w:sz w:val="20"/>
        </w:rPr>
      </w:pPr>
    </w:p>
    <w:p w:rsidR="006A0804" w:rsidRPr="00F96243" w:rsidRDefault="006A0804" w:rsidP="006A0804">
      <w:pPr>
        <w:spacing w:before="0" w:after="0"/>
        <w:jc w:val="both"/>
        <w:rPr>
          <w:b w:val="0"/>
          <w:color w:val="800000"/>
          <w:sz w:val="20"/>
        </w:rPr>
      </w:pPr>
      <w:hyperlink r:id="rId10" w:history="1">
        <w:r w:rsidRPr="00F96243">
          <w:rPr>
            <w:rStyle w:val="Hypertextovprepojenie"/>
            <w:bCs/>
            <w:color w:val="800000"/>
            <w:sz w:val="20"/>
          </w:rPr>
          <w:t>www.margueritefund.eu</w:t>
        </w:r>
      </w:hyperlink>
      <w:r w:rsidRPr="00F96243">
        <w:rPr>
          <w:bCs/>
          <w:color w:val="800000"/>
          <w:sz w:val="20"/>
        </w:rPr>
        <w:t xml:space="preserve"> </w:t>
      </w:r>
    </w:p>
    <w:p w:rsidR="006A0804" w:rsidRPr="006A0804" w:rsidRDefault="006A0804" w:rsidP="006A0804">
      <w:pPr>
        <w:spacing w:before="0" w:after="0"/>
        <w:jc w:val="both"/>
        <w:rPr>
          <w:b w:val="0"/>
          <w:color w:val="5C1E34" w:themeColor="accent1" w:themeShade="80"/>
          <w:sz w:val="20"/>
        </w:rPr>
      </w:pPr>
    </w:p>
    <w:p w:rsidR="006A0804" w:rsidRPr="007024DB" w:rsidRDefault="006A0804" w:rsidP="007024DB">
      <w:pPr>
        <w:spacing w:before="0" w:after="0"/>
        <w:jc w:val="both"/>
        <w:rPr>
          <w:b w:val="0"/>
          <w:color w:val="5C1E34" w:themeColor="accent1" w:themeShade="80"/>
          <w:sz w:val="20"/>
        </w:rPr>
      </w:pPr>
    </w:p>
    <w:p w:rsidR="0095065F" w:rsidRDefault="0095065F" w:rsidP="007024DB">
      <w:pPr>
        <w:spacing w:before="0" w:after="0"/>
        <w:jc w:val="both"/>
        <w:rPr>
          <w:color w:val="5C1E34" w:themeColor="accent1" w:themeShade="80"/>
          <w:sz w:val="20"/>
        </w:rPr>
      </w:pPr>
    </w:p>
    <w:p w:rsidR="00535445" w:rsidRPr="007024DB" w:rsidRDefault="00535445" w:rsidP="007024DB">
      <w:pPr>
        <w:spacing w:before="0" w:after="0"/>
        <w:jc w:val="both"/>
        <w:rPr>
          <w:b w:val="0"/>
          <w:color w:val="5C1E34" w:themeColor="accent1" w:themeShade="80"/>
          <w:sz w:val="20"/>
        </w:rPr>
      </w:pPr>
    </w:p>
    <w:p w:rsidR="00150353" w:rsidRPr="00535445" w:rsidRDefault="00E169A8" w:rsidP="007024DB">
      <w:pPr>
        <w:spacing w:before="0" w:after="0" w:line="276" w:lineRule="auto"/>
        <w:jc w:val="both"/>
        <w:rPr>
          <w:rStyle w:val="Hypertextovprepojenie"/>
          <w:color w:val="5C1E34" w:themeColor="accent1" w:themeShade="80"/>
          <w:sz w:val="16"/>
          <w:szCs w:val="16"/>
        </w:rPr>
      </w:pPr>
      <w:r w:rsidRPr="00535445">
        <w:rPr>
          <w:color w:val="5C1E34" w:themeColor="accent1" w:themeShade="80"/>
          <w:sz w:val="16"/>
          <w:szCs w:val="16"/>
        </w:rPr>
        <w:t xml:space="preserve">verejne sprístupnené dielo MEDIA COELI </w:t>
      </w:r>
      <w:r w:rsidRPr="00535445">
        <w:rPr>
          <w:color w:val="5C1E34" w:themeColor="accent1" w:themeShade="80"/>
          <w:sz w:val="16"/>
          <w:szCs w:val="16"/>
          <w:vertAlign w:val="superscript"/>
        </w:rPr>
        <w:t>®</w:t>
      </w:r>
      <w:r w:rsidRPr="00535445">
        <w:rPr>
          <w:color w:val="5C1E34" w:themeColor="accent1" w:themeShade="80"/>
          <w:sz w:val="16"/>
          <w:szCs w:val="16"/>
        </w:rPr>
        <w:t xml:space="preserve"> podmienky: </w:t>
      </w:r>
      <w:hyperlink r:id="rId11" w:history="1">
        <w:r w:rsidR="00AE59CA" w:rsidRPr="00535445">
          <w:rPr>
            <w:rStyle w:val="Hypertextovprepojenie"/>
            <w:color w:val="5C1E34" w:themeColor="accent1" w:themeShade="80"/>
            <w:sz w:val="16"/>
            <w:szCs w:val="16"/>
          </w:rPr>
          <w:t>www.mediacoeli.sk</w:t>
        </w:r>
      </w:hyperlink>
    </w:p>
    <w:p w:rsidR="001F4AB6" w:rsidRPr="00535445" w:rsidRDefault="001F4AB6" w:rsidP="007024DB">
      <w:pPr>
        <w:spacing w:before="0" w:after="0" w:line="276" w:lineRule="auto"/>
        <w:jc w:val="both"/>
        <w:rPr>
          <w:color w:val="5C1E34" w:themeColor="accent1" w:themeShade="80"/>
          <w:sz w:val="16"/>
          <w:szCs w:val="16"/>
        </w:rPr>
      </w:pPr>
    </w:p>
    <w:sdt>
      <w:sdtPr>
        <w:rPr>
          <w:color w:val="5C1E34" w:themeColor="accent1" w:themeShade="80"/>
          <w:sz w:val="16"/>
          <w:szCs w:val="16"/>
        </w:rPr>
        <w:id w:val="1950342598"/>
        <w:placeholder>
          <w:docPart w:val="DefaultPlaceholder_1082065158"/>
        </w:placeholder>
      </w:sdtPr>
      <w:sdtEndPr/>
      <w:sdtContent>
        <w:bookmarkStart w:id="0" w:name="_GoBack" w:displacedByCustomXml="prev"/>
        <w:p w:rsidR="000F69FA" w:rsidRPr="00535445" w:rsidRDefault="000F69FA" w:rsidP="007024DB">
          <w:pPr>
            <w:spacing w:before="0" w:after="0" w:line="276" w:lineRule="auto"/>
            <w:jc w:val="both"/>
            <w:rPr>
              <w:color w:val="5C1E34" w:themeColor="accent1" w:themeShade="80"/>
              <w:sz w:val="16"/>
              <w:szCs w:val="16"/>
            </w:rPr>
          </w:pPr>
          <w:r w:rsidRPr="00535445">
            <w:rPr>
              <w:color w:val="5C1E34" w:themeColor="accent1" w:themeShade="80"/>
              <w:sz w:val="16"/>
              <w:szCs w:val="16"/>
            </w:rPr>
            <w:t xml:space="preserve">Váš konzultant: </w:t>
          </w:r>
        </w:p>
        <w:p w:rsidR="00495077" w:rsidRPr="00535445" w:rsidRDefault="00495077" w:rsidP="007024DB">
          <w:pPr>
            <w:spacing w:before="0" w:after="0" w:line="276" w:lineRule="auto"/>
            <w:jc w:val="both"/>
            <w:rPr>
              <w:color w:val="5C1E34" w:themeColor="accent1" w:themeShade="80"/>
              <w:sz w:val="16"/>
              <w:szCs w:val="16"/>
            </w:rPr>
          </w:pPr>
        </w:p>
        <w:p w:rsidR="00093E63" w:rsidRPr="00535445" w:rsidRDefault="00093E63" w:rsidP="007024DB">
          <w:pPr>
            <w:spacing w:before="0" w:after="0" w:line="276" w:lineRule="auto"/>
            <w:jc w:val="both"/>
            <w:rPr>
              <w:color w:val="5C1E34" w:themeColor="accent1" w:themeShade="80"/>
              <w:sz w:val="16"/>
              <w:szCs w:val="16"/>
            </w:rPr>
          </w:pPr>
        </w:p>
        <w:p w:rsidR="000F69FA" w:rsidRPr="007024DB" w:rsidRDefault="00AF385D" w:rsidP="007024DB">
          <w:pPr>
            <w:spacing w:before="0" w:after="0" w:line="276" w:lineRule="auto"/>
            <w:jc w:val="both"/>
            <w:rPr>
              <w:b w:val="0"/>
              <w:color w:val="5C1E34" w:themeColor="accent1" w:themeShade="80"/>
              <w:sz w:val="16"/>
              <w:szCs w:val="16"/>
            </w:rPr>
          </w:pPr>
        </w:p>
        <w:bookmarkEnd w:id="0" w:displacedByCustomXml="next"/>
      </w:sdtContent>
    </w:sdt>
    <w:sectPr w:rsidR="000F69FA" w:rsidRPr="007024DB" w:rsidSect="006203D3">
      <w:headerReference w:type="default" r:id="rId12"/>
      <w:footerReference w:type="default" r:id="rId13"/>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5D" w:rsidRDefault="00AF385D" w:rsidP="00F4420D">
      <w:pPr>
        <w:spacing w:after="0"/>
      </w:pPr>
      <w:r>
        <w:separator/>
      </w:r>
    </w:p>
  </w:endnote>
  <w:endnote w:type="continuationSeparator" w:id="0">
    <w:p w:rsidR="00AF385D" w:rsidRDefault="00AF385D"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AF385D" w:rsidRPr="00AF385D">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AF385D" w:rsidRPr="00AF385D">
      <w:rPr>
        <w:b w:val="0"/>
        <w:noProof/>
        <w:color w:val="A6A6A6" w:themeColor="background1" w:themeShade="A6"/>
        <w:sz w:val="16"/>
        <w:szCs w:val="16"/>
      </w:rPr>
      <w:t>1</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5D" w:rsidRDefault="00AF385D" w:rsidP="00F4420D">
      <w:pPr>
        <w:spacing w:after="0"/>
      </w:pPr>
      <w:r>
        <w:separator/>
      </w:r>
    </w:p>
  </w:footnote>
  <w:footnote w:type="continuationSeparator" w:id="0">
    <w:p w:rsidR="00AF385D" w:rsidRDefault="00AF385D"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04" w:rsidRPr="006A0804" w:rsidRDefault="006A0804" w:rsidP="006A0804">
    <w:pPr>
      <w:spacing w:before="0" w:after="0" w:line="276" w:lineRule="auto"/>
      <w:ind w:left="708" w:firstLine="708"/>
      <w:jc w:val="right"/>
      <w:rPr>
        <w:color w:val="A6A6A6" w:themeColor="background1" w:themeShade="A6"/>
        <w:sz w:val="16"/>
        <w:szCs w:val="16"/>
      </w:rPr>
    </w:pPr>
    <w:r w:rsidRPr="006A0804">
      <w:rPr>
        <w:bCs/>
        <w:color w:val="A6A6A6" w:themeColor="background1" w:themeShade="A6"/>
        <w:sz w:val="16"/>
        <w:szCs w:val="16"/>
      </w:rPr>
      <w:t>Marguerite Fund</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20F15E60" wp14:editId="66BE542D">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F3F"/>
    <w:multiLevelType w:val="multilevel"/>
    <w:tmpl w:val="6C1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140E9"/>
    <w:multiLevelType w:val="hybridMultilevel"/>
    <w:tmpl w:val="862E1A16"/>
    <w:lvl w:ilvl="0" w:tplc="3982B99E">
      <w:numFmt w:val="bullet"/>
      <w:lvlText w:val="-"/>
      <w:lvlJc w:val="left"/>
      <w:pPr>
        <w:ind w:left="720" w:hanging="360"/>
      </w:pPr>
      <w:rPr>
        <w:rFonts w:ascii="Verdana" w:eastAsiaTheme="minorHAnsi" w:hAnsi="Verdana"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7A3040C"/>
    <w:multiLevelType w:val="multilevel"/>
    <w:tmpl w:val="EE9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9SuoSpnKArUIf5oK0P6WZGqaCs=" w:salt="8damu6CGsGa0II+thjdmj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29AD"/>
    <w:rsid w:val="00157167"/>
    <w:rsid w:val="00164B21"/>
    <w:rsid w:val="00171F91"/>
    <w:rsid w:val="0018154F"/>
    <w:rsid w:val="001932A8"/>
    <w:rsid w:val="001F4AB6"/>
    <w:rsid w:val="00241D19"/>
    <w:rsid w:val="0028147B"/>
    <w:rsid w:val="002D385F"/>
    <w:rsid w:val="00310D4D"/>
    <w:rsid w:val="00336689"/>
    <w:rsid w:val="00336A09"/>
    <w:rsid w:val="00343F10"/>
    <w:rsid w:val="00353059"/>
    <w:rsid w:val="00355AA0"/>
    <w:rsid w:val="00357DD7"/>
    <w:rsid w:val="0036304F"/>
    <w:rsid w:val="0037703B"/>
    <w:rsid w:val="003A4705"/>
    <w:rsid w:val="00460A9F"/>
    <w:rsid w:val="0047619C"/>
    <w:rsid w:val="00495077"/>
    <w:rsid w:val="004B073A"/>
    <w:rsid w:val="004B5637"/>
    <w:rsid w:val="004D5EC9"/>
    <w:rsid w:val="004E3C47"/>
    <w:rsid w:val="00504833"/>
    <w:rsid w:val="0052339A"/>
    <w:rsid w:val="00535445"/>
    <w:rsid w:val="00536A81"/>
    <w:rsid w:val="00542CC6"/>
    <w:rsid w:val="005925B6"/>
    <w:rsid w:val="005A643E"/>
    <w:rsid w:val="005F0051"/>
    <w:rsid w:val="00602EF9"/>
    <w:rsid w:val="006203D3"/>
    <w:rsid w:val="00645C24"/>
    <w:rsid w:val="00673F90"/>
    <w:rsid w:val="00681C33"/>
    <w:rsid w:val="006A0804"/>
    <w:rsid w:val="006A0E3C"/>
    <w:rsid w:val="006B6987"/>
    <w:rsid w:val="007024DB"/>
    <w:rsid w:val="0072638E"/>
    <w:rsid w:val="00736B3E"/>
    <w:rsid w:val="007617E7"/>
    <w:rsid w:val="00787A94"/>
    <w:rsid w:val="007C3213"/>
    <w:rsid w:val="00804257"/>
    <w:rsid w:val="00854341"/>
    <w:rsid w:val="00894C03"/>
    <w:rsid w:val="008B031E"/>
    <w:rsid w:val="008B6A15"/>
    <w:rsid w:val="008D6AAF"/>
    <w:rsid w:val="008E1621"/>
    <w:rsid w:val="008F0B5C"/>
    <w:rsid w:val="0090074C"/>
    <w:rsid w:val="00903B51"/>
    <w:rsid w:val="009270AE"/>
    <w:rsid w:val="009302C4"/>
    <w:rsid w:val="00933269"/>
    <w:rsid w:val="0095065F"/>
    <w:rsid w:val="009715A2"/>
    <w:rsid w:val="00975E71"/>
    <w:rsid w:val="00976F00"/>
    <w:rsid w:val="00977888"/>
    <w:rsid w:val="009A5A3B"/>
    <w:rsid w:val="00A11EA7"/>
    <w:rsid w:val="00A157B4"/>
    <w:rsid w:val="00A36AFE"/>
    <w:rsid w:val="00AA5082"/>
    <w:rsid w:val="00AE59CA"/>
    <w:rsid w:val="00AF385D"/>
    <w:rsid w:val="00B36300"/>
    <w:rsid w:val="00B43241"/>
    <w:rsid w:val="00BE4284"/>
    <w:rsid w:val="00BF6324"/>
    <w:rsid w:val="00BF7C27"/>
    <w:rsid w:val="00C84B9F"/>
    <w:rsid w:val="00C869DB"/>
    <w:rsid w:val="00CA4707"/>
    <w:rsid w:val="00CD484A"/>
    <w:rsid w:val="00CF3C51"/>
    <w:rsid w:val="00D0790B"/>
    <w:rsid w:val="00D10615"/>
    <w:rsid w:val="00D51B96"/>
    <w:rsid w:val="00D80350"/>
    <w:rsid w:val="00DB0B54"/>
    <w:rsid w:val="00E169A8"/>
    <w:rsid w:val="00E268DD"/>
    <w:rsid w:val="00E26E26"/>
    <w:rsid w:val="00E8111B"/>
    <w:rsid w:val="00EA59F7"/>
    <w:rsid w:val="00EC3558"/>
    <w:rsid w:val="00ED751C"/>
    <w:rsid w:val="00F04A00"/>
    <w:rsid w:val="00F10D78"/>
    <w:rsid w:val="00F4420D"/>
    <w:rsid w:val="00F92162"/>
    <w:rsid w:val="00F96243"/>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163093565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 w:id="21298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coeli.sk/detail-29-mediacoeli_Licen&#269;n&#225;_dohoda_na_verejne_spr&#237;stupnen&#233;_diela_MEDIA_COELI_&#174;.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margueritefund.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46FF6"/>
    <w:rsid w:val="000D76FF"/>
    <w:rsid w:val="003E4284"/>
    <w:rsid w:val="005C3B51"/>
    <w:rsid w:val="00670F02"/>
    <w:rsid w:val="00677726"/>
    <w:rsid w:val="00717489"/>
    <w:rsid w:val="0073796B"/>
    <w:rsid w:val="0086398C"/>
    <w:rsid w:val="00A3700D"/>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81123-2B35-405D-B130-E927D913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477</Words>
  <Characters>2722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Marguerite Fund</vt:lpstr>
    </vt:vector>
  </TitlesOfParts>
  <Company>MEDIA COELI ®, Pekárska 11, 917 01 Trnava, Slovakia, info@mediacoeli.sk, SK, CZ: 00421911907188,  English, French, German: 00421904807188, www.mediacoeli.sk</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Marguerite Fund</dc:title>
  <dc:creator>Milena Mrvová;MEDIA COELI ®</dc:creator>
  <cp:lastModifiedBy>Milena Mrvová</cp:lastModifiedBy>
  <cp:revision>7</cp:revision>
  <cp:lastPrinted>2013-06-30T09:37:00Z</cp:lastPrinted>
  <dcterms:created xsi:type="dcterms:W3CDTF">2013-06-30T09:06:00Z</dcterms:created>
  <dcterms:modified xsi:type="dcterms:W3CDTF">2013-06-30T09:38:00Z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