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BD5038" w:rsidRDefault="00357DD7" w:rsidP="007024DB">
      <w:pPr>
        <w:spacing w:before="0" w:after="0"/>
        <w:jc w:val="both"/>
        <w:rPr>
          <w:b w:val="0"/>
          <w:color w:val="000066"/>
          <w:sz w:val="20"/>
        </w:rPr>
      </w:pPr>
    </w:p>
    <w:p w:rsidR="00EA752C" w:rsidRPr="00BD5038" w:rsidRDefault="00EA752C" w:rsidP="007024DB">
      <w:pPr>
        <w:spacing w:before="0" w:after="0"/>
        <w:jc w:val="both"/>
        <w:rPr>
          <w:color w:val="000066"/>
          <w:sz w:val="20"/>
        </w:rPr>
      </w:pPr>
    </w:p>
    <w:p w:rsidR="006638B7" w:rsidRPr="00BD5038" w:rsidRDefault="006638B7" w:rsidP="007024DB">
      <w:pPr>
        <w:spacing w:before="0" w:after="0"/>
        <w:jc w:val="both"/>
        <w:rPr>
          <w:color w:val="000066"/>
          <w:sz w:val="20"/>
        </w:rPr>
      </w:pPr>
    </w:p>
    <w:p w:rsidR="00EA752C" w:rsidRPr="00BD5038" w:rsidRDefault="00EA752C" w:rsidP="00EA752C">
      <w:pPr>
        <w:spacing w:before="0" w:after="0"/>
        <w:jc w:val="both"/>
        <w:rPr>
          <w:color w:val="000066"/>
          <w:sz w:val="20"/>
        </w:rPr>
      </w:pPr>
      <w:r w:rsidRPr="00BD5038">
        <w:rPr>
          <w:bCs/>
          <w:color w:val="000066"/>
          <w:sz w:val="20"/>
        </w:rPr>
        <w:t>Project Bond 2020 (Projektové dlhopisy)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 xml:space="preserve">V roku 2012 bolo schválené Nariadenie č. 670/2012, ktorým sa spúšťa pilotná fáza Iniciatívy projektových dlhopisov EÚ a EIB (Európskej investičnej banky). Nariadenie bolo zverejnené 31. júla 2012. Cieľom iniciatívy je oživiť kapitálové trhy pri ich financovaní veľkých infraštruktúrnych projektov EÚ v oblasti dopravy, energetiky a informačných technológií. 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 xml:space="preserve">Schváleniu právneho rámca a spusteniu pilotnej fázy predchádzali dlhé diskusie a prieskumy medzi relevantnými aktérmi – investormi – najmä v prostredí dôchodkových správcovských spoločností, poisťovní a pod. 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Cieľom iniciatívy je znížiť riziká tretích strán – investorov – pri hľadaní dlhodobých investičných príležitostí. Predpokladá sa, že táto iniciatíva naštartuje investície do infraštruktúrnych projektov, ktoré sa týmto stanú dlhodobo návratnou investíciou.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V pilotnej fáze sa bude testovať iniciatíva v rámci dobiehajúceho finančného rámca EÚ na roky 2007 – 2013. Nositeľom iniciatívy bude Európska investičná banka.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V tejto fáze bude cieľom dosiahnuť:</w:t>
      </w:r>
    </w:p>
    <w:p w:rsidR="00EA752C" w:rsidRPr="00BD5038" w:rsidRDefault="00EA752C" w:rsidP="00EA752C">
      <w:pPr>
        <w:numPr>
          <w:ilvl w:val="0"/>
          <w:numId w:val="2"/>
        </w:num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stimulovanie investície do strategických projektov v oblasti dopravy a energetiky (TEN-T, TEN-E)</w:t>
      </w:r>
    </w:p>
    <w:p w:rsidR="00EA752C" w:rsidRPr="00BD5038" w:rsidRDefault="00EA752C" w:rsidP="00EA752C">
      <w:pPr>
        <w:numPr>
          <w:ilvl w:val="0"/>
          <w:numId w:val="2"/>
        </w:num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 xml:space="preserve">vybudovanie dlhového kapitálového trhu ako doplňujúci zdroj financovania infraštruktúrnych projektov 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 xml:space="preserve">Cieľom je prilákať inštitucionálnych investorov, ktorý by investovali do projektových dlhopisov emitovaných súkromnými spoločnosťami (v rámci PPP) v prípade projektov so stabilným a predikovateľným potenciálom generovania cash-flow. Toto je dodatočný zdroj financovania, nemá nahradiť štandardné formy ako úvery, granty a pod. 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Na rozdiel od tzv. Eurobondov alebo „stabilizačných dlhopisov“ (v rámci Eurovalu), projektové dlhopisy nebude emitovať Európska komisia alebo jednotlivé členské štáty.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6638B7" w:rsidRPr="00BD5038" w:rsidRDefault="006638B7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EA752C" w:rsidRPr="00BD5038" w:rsidRDefault="00EA752C" w:rsidP="00EA752C">
      <w:pPr>
        <w:spacing w:before="0" w:after="0"/>
        <w:jc w:val="both"/>
        <w:rPr>
          <w:bCs/>
          <w:color w:val="000066"/>
          <w:sz w:val="20"/>
        </w:rPr>
      </w:pPr>
      <w:r w:rsidRPr="00BD5038">
        <w:rPr>
          <w:bCs/>
          <w:color w:val="000066"/>
          <w:sz w:val="20"/>
        </w:rPr>
        <w:t>Oprávnené projekty:</w:t>
      </w:r>
    </w:p>
    <w:p w:rsidR="006638B7" w:rsidRPr="00BD5038" w:rsidRDefault="006638B7" w:rsidP="00EA752C">
      <w:pPr>
        <w:spacing w:before="0" w:after="0"/>
        <w:jc w:val="both"/>
        <w:rPr>
          <w:color w:val="000066"/>
          <w:sz w:val="20"/>
        </w:rPr>
      </w:pP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Oprávnené sú všetky projekty, ktoré spĺňajú podmienky:</w:t>
      </w:r>
    </w:p>
    <w:p w:rsidR="00EA752C" w:rsidRPr="00BD5038" w:rsidRDefault="00EA752C" w:rsidP="00EA752C">
      <w:pPr>
        <w:numPr>
          <w:ilvl w:val="0"/>
          <w:numId w:val="3"/>
        </w:num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TEN-T (dopravná sieť)</w:t>
      </w:r>
    </w:p>
    <w:p w:rsidR="00EA752C" w:rsidRPr="00BD5038" w:rsidRDefault="00EA752C" w:rsidP="00EA752C">
      <w:pPr>
        <w:numPr>
          <w:ilvl w:val="0"/>
          <w:numId w:val="3"/>
        </w:num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TEN-E (energetika)</w:t>
      </w:r>
    </w:p>
    <w:p w:rsidR="00EA752C" w:rsidRPr="00BD5038" w:rsidRDefault="00EA752C" w:rsidP="00EA752C">
      <w:pPr>
        <w:numPr>
          <w:ilvl w:val="0"/>
          <w:numId w:val="3"/>
        </w:num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eTEN (IKT)</w:t>
      </w:r>
    </w:p>
    <w:p w:rsidR="00EA752C" w:rsidRPr="00BD5038" w:rsidRDefault="00EA752C" w:rsidP="00EA752C">
      <w:pPr>
        <w:numPr>
          <w:ilvl w:val="0"/>
          <w:numId w:val="3"/>
        </w:num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CIP (Konkurencie schopná politika) – v rámci schémy CIP je možné podporiť investície do konkurencieschopnosti súkromných firiem v oblasti technológií a výskumu a vývoja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6638B7" w:rsidRPr="00BD5038" w:rsidRDefault="006638B7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EA752C" w:rsidRPr="00BD5038" w:rsidRDefault="00EA752C" w:rsidP="00EA752C">
      <w:pPr>
        <w:spacing w:before="0" w:after="0"/>
        <w:jc w:val="both"/>
        <w:rPr>
          <w:bCs/>
          <w:color w:val="000066"/>
          <w:sz w:val="20"/>
        </w:rPr>
      </w:pPr>
      <w:r w:rsidRPr="00BD5038">
        <w:rPr>
          <w:bCs/>
          <w:color w:val="000066"/>
          <w:sz w:val="20"/>
        </w:rPr>
        <w:t>Forma podpory:</w:t>
      </w:r>
    </w:p>
    <w:p w:rsidR="006638B7" w:rsidRPr="00BD5038" w:rsidRDefault="006638B7" w:rsidP="00EA752C">
      <w:pPr>
        <w:spacing w:before="0" w:after="0"/>
        <w:jc w:val="both"/>
        <w:rPr>
          <w:color w:val="000066"/>
          <w:sz w:val="20"/>
        </w:rPr>
      </w:pPr>
    </w:p>
    <w:p w:rsidR="00EA752C" w:rsidRPr="00BD5038" w:rsidRDefault="00EA752C" w:rsidP="00EA752C">
      <w:pPr>
        <w:numPr>
          <w:ilvl w:val="0"/>
          <w:numId w:val="4"/>
        </w:num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záruky za úvery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6638B7" w:rsidRPr="00BD5038" w:rsidRDefault="006638B7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EA752C" w:rsidRPr="00BD5038" w:rsidRDefault="00EA752C" w:rsidP="00EA752C">
      <w:pPr>
        <w:spacing w:before="0" w:after="0"/>
        <w:jc w:val="both"/>
        <w:rPr>
          <w:bCs/>
          <w:color w:val="000066"/>
          <w:sz w:val="20"/>
        </w:rPr>
      </w:pPr>
      <w:r w:rsidRPr="00BD5038">
        <w:rPr>
          <w:bCs/>
          <w:color w:val="000066"/>
          <w:sz w:val="20"/>
        </w:rPr>
        <w:t>Cieľ podpory:</w:t>
      </w:r>
    </w:p>
    <w:p w:rsidR="006638B7" w:rsidRPr="00BD5038" w:rsidRDefault="006638B7" w:rsidP="00EA752C">
      <w:pPr>
        <w:spacing w:before="0" w:after="0"/>
        <w:jc w:val="both"/>
        <w:rPr>
          <w:color w:val="000066"/>
          <w:sz w:val="20"/>
        </w:rPr>
      </w:pPr>
    </w:p>
    <w:p w:rsidR="00EA752C" w:rsidRPr="00BD5038" w:rsidRDefault="00EA752C" w:rsidP="00EA752C">
      <w:pPr>
        <w:numPr>
          <w:ilvl w:val="0"/>
          <w:numId w:val="5"/>
        </w:numPr>
        <w:spacing w:before="0" w:after="0"/>
        <w:jc w:val="both"/>
        <w:rPr>
          <w:b w:val="0"/>
          <w:color w:val="000066"/>
          <w:sz w:val="20"/>
        </w:rPr>
      </w:pPr>
      <w:r w:rsidRPr="00BD5038">
        <w:rPr>
          <w:b w:val="0"/>
          <w:color w:val="000066"/>
          <w:sz w:val="20"/>
        </w:rPr>
        <w:t>zníženie rizík investorov ktorí financujú infraštruktúrne projekty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6638B7" w:rsidRPr="00BD5038" w:rsidRDefault="006638B7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EA752C" w:rsidRPr="00BD5038" w:rsidRDefault="00EA752C" w:rsidP="00EA752C">
      <w:pPr>
        <w:spacing w:before="0" w:after="0"/>
        <w:jc w:val="both"/>
        <w:rPr>
          <w:bCs/>
          <w:color w:val="000066"/>
          <w:sz w:val="20"/>
        </w:rPr>
      </w:pPr>
      <w:r w:rsidRPr="00BD5038">
        <w:rPr>
          <w:bCs/>
          <w:color w:val="000066"/>
          <w:sz w:val="20"/>
        </w:rPr>
        <w:t>Viac informácií:</w:t>
      </w:r>
    </w:p>
    <w:p w:rsidR="006638B7" w:rsidRPr="00BD5038" w:rsidRDefault="006638B7" w:rsidP="00EA752C">
      <w:pPr>
        <w:spacing w:before="0" w:after="0"/>
        <w:jc w:val="both"/>
        <w:rPr>
          <w:color w:val="000066"/>
          <w:sz w:val="20"/>
        </w:rPr>
      </w:pP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  <w:hyperlink r:id="rId10" w:history="1">
        <w:r w:rsidRPr="00BD5038">
          <w:rPr>
            <w:rStyle w:val="Hypertextovprepojenie"/>
            <w:b w:val="0"/>
            <w:color w:val="000066"/>
            <w:sz w:val="20"/>
          </w:rPr>
          <w:t>http://ec.europa.eu/economy_finance/financial_operations/investment/europe_2020/index_en.htm</w:t>
        </w:r>
      </w:hyperlink>
      <w:r w:rsidRPr="00BD5038">
        <w:rPr>
          <w:b w:val="0"/>
          <w:color w:val="000066"/>
          <w:sz w:val="20"/>
        </w:rPr>
        <w:t xml:space="preserve"> </w:t>
      </w:r>
    </w:p>
    <w:p w:rsidR="00EA752C" w:rsidRPr="00BD5038" w:rsidRDefault="00EA752C" w:rsidP="00EA752C">
      <w:pPr>
        <w:spacing w:before="0" w:after="0"/>
        <w:jc w:val="both"/>
        <w:rPr>
          <w:b w:val="0"/>
          <w:color w:val="000066"/>
          <w:sz w:val="20"/>
        </w:rPr>
      </w:pPr>
    </w:p>
    <w:p w:rsidR="00535445" w:rsidRPr="00BD5038" w:rsidRDefault="00535445" w:rsidP="007024DB">
      <w:pPr>
        <w:spacing w:before="0" w:after="0"/>
        <w:jc w:val="both"/>
        <w:rPr>
          <w:b w:val="0"/>
          <w:color w:val="000066"/>
          <w:sz w:val="20"/>
        </w:rPr>
      </w:pPr>
    </w:p>
    <w:p w:rsidR="00150353" w:rsidRPr="00BD5038" w:rsidRDefault="00E169A8" w:rsidP="007024DB">
      <w:pPr>
        <w:spacing w:before="0" w:after="0" w:line="276" w:lineRule="auto"/>
        <w:jc w:val="both"/>
        <w:rPr>
          <w:rStyle w:val="Hypertextovprepojenie"/>
          <w:color w:val="000066"/>
          <w:sz w:val="16"/>
          <w:szCs w:val="16"/>
        </w:rPr>
      </w:pPr>
      <w:r w:rsidRPr="00BD5038">
        <w:rPr>
          <w:color w:val="000066"/>
          <w:sz w:val="16"/>
          <w:szCs w:val="16"/>
        </w:rPr>
        <w:t xml:space="preserve">verejne sprístupnené dielo MEDIA COELI </w:t>
      </w:r>
      <w:r w:rsidRPr="00BD5038">
        <w:rPr>
          <w:color w:val="000066"/>
          <w:sz w:val="16"/>
          <w:szCs w:val="16"/>
          <w:vertAlign w:val="superscript"/>
        </w:rPr>
        <w:t>®</w:t>
      </w:r>
      <w:r w:rsidRPr="00BD5038">
        <w:rPr>
          <w:color w:val="000066"/>
          <w:sz w:val="16"/>
          <w:szCs w:val="16"/>
        </w:rPr>
        <w:t xml:space="preserve"> podmienky: </w:t>
      </w:r>
      <w:hyperlink r:id="rId11" w:history="1">
        <w:r w:rsidR="00AE59CA" w:rsidRPr="00BD5038">
          <w:rPr>
            <w:rStyle w:val="Hypertextovprepojenie"/>
            <w:color w:val="000066"/>
            <w:sz w:val="16"/>
            <w:szCs w:val="16"/>
          </w:rPr>
          <w:t>www.mediacoeli.sk</w:t>
        </w:r>
      </w:hyperlink>
    </w:p>
    <w:p w:rsidR="001F4AB6" w:rsidRPr="00BD5038" w:rsidRDefault="001F4AB6" w:rsidP="007024DB">
      <w:pPr>
        <w:spacing w:before="0" w:after="0" w:line="276" w:lineRule="auto"/>
        <w:jc w:val="both"/>
        <w:rPr>
          <w:color w:val="000066"/>
          <w:sz w:val="16"/>
          <w:szCs w:val="16"/>
        </w:rPr>
      </w:pPr>
    </w:p>
    <w:sdt>
      <w:sdtPr>
        <w:rPr>
          <w:color w:val="000066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BD5038" w:rsidRDefault="000F69FA" w:rsidP="007024DB">
          <w:pPr>
            <w:spacing w:before="0" w:after="0" w:line="276" w:lineRule="auto"/>
            <w:jc w:val="both"/>
            <w:rPr>
              <w:color w:val="000066"/>
              <w:sz w:val="16"/>
              <w:szCs w:val="16"/>
            </w:rPr>
          </w:pPr>
          <w:r w:rsidRPr="00BD5038">
            <w:rPr>
              <w:color w:val="000066"/>
              <w:sz w:val="16"/>
              <w:szCs w:val="16"/>
            </w:rPr>
            <w:t xml:space="preserve">Váš konzultant: </w:t>
          </w:r>
        </w:p>
        <w:p w:rsidR="00093E63" w:rsidRPr="00BD5038" w:rsidRDefault="00093E63" w:rsidP="007024DB">
          <w:pPr>
            <w:spacing w:before="0" w:after="0" w:line="276" w:lineRule="auto"/>
            <w:jc w:val="both"/>
            <w:rPr>
              <w:color w:val="000066"/>
              <w:sz w:val="16"/>
              <w:szCs w:val="16"/>
            </w:rPr>
          </w:pPr>
        </w:p>
        <w:p w:rsidR="000F69FA" w:rsidRPr="00BD5038" w:rsidRDefault="00507355" w:rsidP="007024DB">
          <w:pPr>
            <w:spacing w:before="0" w:after="0" w:line="276" w:lineRule="auto"/>
            <w:jc w:val="both"/>
            <w:rPr>
              <w:b w:val="0"/>
              <w:color w:val="000066"/>
              <w:sz w:val="16"/>
              <w:szCs w:val="16"/>
            </w:rPr>
          </w:pPr>
        </w:p>
        <w:bookmarkEnd w:id="0" w:displacedByCustomXml="next"/>
      </w:sdtContent>
    </w:sdt>
    <w:sectPr w:rsidR="000F69FA" w:rsidRPr="00BD5038" w:rsidSect="006203D3">
      <w:headerReference w:type="default" r:id="rId12"/>
      <w:footerReference w:type="default" r:id="rId13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55" w:rsidRDefault="00507355" w:rsidP="00F4420D">
      <w:pPr>
        <w:spacing w:after="0"/>
      </w:pPr>
      <w:r>
        <w:separator/>
      </w:r>
    </w:p>
  </w:endnote>
  <w:endnote w:type="continuationSeparator" w:id="0">
    <w:p w:rsidR="00507355" w:rsidRDefault="00507355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07355" w:rsidRPr="00507355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507355" w:rsidRPr="00507355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55" w:rsidRDefault="00507355" w:rsidP="00F4420D">
      <w:pPr>
        <w:spacing w:after="0"/>
      </w:pPr>
      <w:r>
        <w:separator/>
      </w:r>
    </w:p>
  </w:footnote>
  <w:footnote w:type="continuationSeparator" w:id="0">
    <w:p w:rsidR="00507355" w:rsidRDefault="00507355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29" w:rsidRPr="00947129" w:rsidRDefault="00947129" w:rsidP="00947129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947129">
      <w:rPr>
        <w:bCs/>
        <w:color w:val="A6A6A6" w:themeColor="background1" w:themeShade="A6"/>
        <w:sz w:val="16"/>
        <w:szCs w:val="16"/>
      </w:rPr>
      <w:t>Project Bond 2020 (projektové dlhopisy)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1C17211C" wp14:editId="3E5DF36F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DA6"/>
    <w:multiLevelType w:val="multilevel"/>
    <w:tmpl w:val="8F6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F283C"/>
    <w:multiLevelType w:val="multilevel"/>
    <w:tmpl w:val="970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83F8B"/>
    <w:multiLevelType w:val="multilevel"/>
    <w:tmpl w:val="D3F0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80BAE"/>
    <w:multiLevelType w:val="multilevel"/>
    <w:tmpl w:val="9666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OnlceA+xct1qKEyEICNidFdccE=" w:salt="9EatoByUllWLZICogV9na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2408C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07355"/>
    <w:rsid w:val="0052339A"/>
    <w:rsid w:val="00535445"/>
    <w:rsid w:val="00536A81"/>
    <w:rsid w:val="00542CC6"/>
    <w:rsid w:val="005925B6"/>
    <w:rsid w:val="005A643E"/>
    <w:rsid w:val="005F0051"/>
    <w:rsid w:val="00602EF9"/>
    <w:rsid w:val="006203D3"/>
    <w:rsid w:val="00645C24"/>
    <w:rsid w:val="006638B7"/>
    <w:rsid w:val="00673F90"/>
    <w:rsid w:val="00681C33"/>
    <w:rsid w:val="006A0E3C"/>
    <w:rsid w:val="006B6987"/>
    <w:rsid w:val="007024DB"/>
    <w:rsid w:val="0072638E"/>
    <w:rsid w:val="00736B3E"/>
    <w:rsid w:val="007617E7"/>
    <w:rsid w:val="00787A94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47129"/>
    <w:rsid w:val="0095065F"/>
    <w:rsid w:val="009715A2"/>
    <w:rsid w:val="00975E71"/>
    <w:rsid w:val="00976F00"/>
    <w:rsid w:val="00977888"/>
    <w:rsid w:val="009A5A3B"/>
    <w:rsid w:val="00A027BF"/>
    <w:rsid w:val="00A157B4"/>
    <w:rsid w:val="00A36AFE"/>
    <w:rsid w:val="00A57317"/>
    <w:rsid w:val="00AA5082"/>
    <w:rsid w:val="00AE59CA"/>
    <w:rsid w:val="00B36300"/>
    <w:rsid w:val="00B43241"/>
    <w:rsid w:val="00BD5038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72969"/>
    <w:rsid w:val="00E8111B"/>
    <w:rsid w:val="00EA59F7"/>
    <w:rsid w:val="00EA752C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detail-29-mediacoeli_Licen&#269;n&#225;_dohoda_na_verejne_spr&#237;stupnen&#233;_diela_MEDIA_COELI_&#174;.html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ec.europa.eu/economy_finance/financial_operations/investment/europe_2020/index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C3B51"/>
    <w:rsid w:val="00670F02"/>
    <w:rsid w:val="00677726"/>
    <w:rsid w:val="00717489"/>
    <w:rsid w:val="0073796B"/>
    <w:rsid w:val="0086398C"/>
    <w:rsid w:val="00A3700D"/>
    <w:rsid w:val="00AB55A6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ECDE13-10CB-401A-8EF5-A8BC09D1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Project Bond 2020 (projektové dlhopisy)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Bond 2020 (projektové dlhopisy)</dc:title>
  <dc:creator>Milena Mrvová;MEDIA COELI ®</dc:creator>
  <cp:lastModifiedBy>Milena Mrvová</cp:lastModifiedBy>
  <cp:revision>8</cp:revision>
  <cp:lastPrinted>2013-07-03T08:41:00Z</cp:lastPrinted>
  <dcterms:created xsi:type="dcterms:W3CDTF">2013-07-03T08:32:00Z</dcterms:created>
  <dcterms:modified xsi:type="dcterms:W3CDTF">2013-07-03T08:44:00Z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