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5E2776" w:rsidRDefault="00357DD7" w:rsidP="0095065F">
      <w:pPr>
        <w:spacing w:before="0" w:after="0"/>
        <w:rPr>
          <w:color w:val="FA8D3D" w:themeColor="accent6"/>
          <w:sz w:val="20"/>
        </w:rPr>
      </w:pPr>
    </w:p>
    <w:p w:rsidR="006203D3" w:rsidRPr="005E2776" w:rsidRDefault="006203D3" w:rsidP="0095065F">
      <w:pPr>
        <w:spacing w:before="0" w:after="0"/>
        <w:rPr>
          <w:color w:val="FA8D3D" w:themeColor="accent6"/>
          <w:sz w:val="20"/>
        </w:rPr>
      </w:pPr>
    </w:p>
    <w:p w:rsidR="0087202C" w:rsidRPr="005E2776" w:rsidRDefault="0087202C" w:rsidP="0095065F">
      <w:pPr>
        <w:spacing w:before="0" w:after="0"/>
        <w:rPr>
          <w:color w:val="FA8D3D" w:themeColor="accent6"/>
          <w:sz w:val="20"/>
        </w:rPr>
      </w:pPr>
    </w:p>
    <w:p w:rsidR="0087202C" w:rsidRPr="005E2776" w:rsidRDefault="0087202C" w:rsidP="005E2776">
      <w:pPr>
        <w:spacing w:before="0" w:after="0"/>
        <w:rPr>
          <w:rFonts w:ascii="Times New Roman" w:eastAsia="Times New Roman" w:hAnsi="Times New Roman" w:cs="Times New Roman"/>
          <w:b w:val="0"/>
          <w:color w:val="FA8D3D" w:themeColor="accent6"/>
          <w:sz w:val="24"/>
          <w:szCs w:val="24"/>
          <w:lang w:eastAsia="sk-SK"/>
        </w:rPr>
      </w:pPr>
      <w:r w:rsidRPr="005E2776">
        <w:rPr>
          <w:rFonts w:eastAsia="Times New Roman" w:cs="Times New Roman"/>
          <w:bCs/>
          <w:color w:val="FA8D3D" w:themeColor="accent6"/>
          <w:sz w:val="20"/>
          <w:lang w:eastAsia="sk-SK"/>
        </w:rPr>
        <w:t>Synchronizácia koncepčných a strategických dokumentov obcí, miest a VÚC</w:t>
      </w:r>
    </w:p>
    <w:p w:rsidR="0087202C" w:rsidRPr="005E2776" w:rsidRDefault="0087202C" w:rsidP="0087202C">
      <w:pPr>
        <w:spacing w:before="0" w:after="0"/>
        <w:jc w:val="both"/>
        <w:rPr>
          <w:rFonts w:ascii="Times New Roman" w:eastAsia="Times New Roman" w:hAnsi="Times New Roman" w:cs="Times New Roman"/>
          <w:b w:val="0"/>
          <w:color w:val="FA8D3D" w:themeColor="accent6"/>
          <w:sz w:val="20"/>
          <w:lang w:eastAsia="sk-SK"/>
        </w:rPr>
      </w:pPr>
    </w:p>
    <w:p w:rsidR="0087202C" w:rsidRPr="005E2776" w:rsidRDefault="0087202C" w:rsidP="0087202C">
      <w:pPr>
        <w:spacing w:before="0" w:after="0"/>
        <w:jc w:val="both"/>
        <w:rPr>
          <w:rFonts w:ascii="Times New Roman" w:eastAsia="Times New Roman" w:hAnsi="Times New Roman" w:cs="Times New Roman"/>
          <w:b w:val="0"/>
          <w:color w:val="FA8D3D" w:themeColor="accent6"/>
          <w:sz w:val="20"/>
          <w:lang w:eastAsia="sk-SK"/>
        </w:rPr>
      </w:pPr>
    </w:p>
    <w:p w:rsidR="009F2BEB" w:rsidRDefault="009F2BEB" w:rsidP="009F2BEB">
      <w:pPr>
        <w:spacing w:before="0" w:after="0"/>
        <w:jc w:val="both"/>
        <w:rPr>
          <w:rFonts w:eastAsia="Times New Roman" w:cs="Times New Roman"/>
          <w:bCs/>
          <w:color w:val="FA8D3D" w:themeColor="accent6"/>
          <w:sz w:val="20"/>
          <w:lang w:eastAsia="sk-SK"/>
        </w:rPr>
      </w:pPr>
      <w:r w:rsidRPr="005E2776">
        <w:rPr>
          <w:rFonts w:eastAsia="Times New Roman" w:cs="Times New Roman"/>
          <w:bCs/>
          <w:color w:val="FA8D3D" w:themeColor="accent6"/>
          <w:sz w:val="20"/>
          <w:lang w:eastAsia="sk-SK"/>
        </w:rPr>
        <w:t xml:space="preserve">Obce, mestá a vyššie územné celky sú na základe viacerých platných právnych predpisov Slovenskej republiky a tiež mnohých odporúčaní Európskej komisie povinné spracovať strategické a koncepčné dokumenty pre mnohé oblasti. Okrem iného ide o Program hospodárskeho a sociálneho rozvoja obce (zákon o obecnom zriadení), Komunitný plán sociálnych služieb (zákon o sociálnych službách), Program odpadového hospodárstva (zákon o odpadoch), Koncepcia rozvoja obce v oblasti tepelnej energetiky (zákon o tepelnej energetike) či Koncepciu rozvoja informačných systémov (zákon o informatizácii verejnej správy), nehovoriac o čiastkových plánoch pre oblasť protipovodňovej ochrany, krízového manažmentu a pod. </w:t>
      </w:r>
    </w:p>
    <w:p w:rsidR="005E2776" w:rsidRPr="005E2776" w:rsidRDefault="005E2776" w:rsidP="009F2BEB">
      <w:pPr>
        <w:spacing w:before="0" w:after="0"/>
        <w:jc w:val="both"/>
        <w:rPr>
          <w:rFonts w:eastAsia="Times New Roman" w:cs="Times New Roman"/>
          <w:b w:val="0"/>
          <w:color w:val="FA8D3D" w:themeColor="accent6"/>
          <w:sz w:val="20"/>
          <w:lang w:eastAsia="sk-SK"/>
        </w:rPr>
      </w:pPr>
    </w:p>
    <w:p w:rsidR="009F2BEB" w:rsidRDefault="009F2BEB" w:rsidP="009F2BEB">
      <w:pPr>
        <w:spacing w:before="0" w:after="0"/>
        <w:jc w:val="both"/>
        <w:rPr>
          <w:rFonts w:eastAsia="Times New Roman" w:cs="Times New Roman"/>
          <w:bCs/>
          <w:color w:val="FA8D3D" w:themeColor="accent6"/>
          <w:sz w:val="20"/>
          <w:lang w:eastAsia="sk-SK"/>
        </w:rPr>
      </w:pPr>
      <w:r w:rsidRPr="005E2776">
        <w:rPr>
          <w:rFonts w:eastAsia="Times New Roman" w:cs="Times New Roman"/>
          <w:bCs/>
          <w:color w:val="FA8D3D" w:themeColor="accent6"/>
          <w:sz w:val="20"/>
          <w:lang w:eastAsia="sk-SK"/>
        </w:rPr>
        <w:t>Zo strany Európskej komisie je v ostatnom čase prioritou Udržateľný plán rozvoja mestskej mobility (tzv. dopravné generely), Koncepcia energetickej efektívnosti alebo Akčný plán pre udržateľnú energiu, zamerané predovšetkým na energetické úspory vo verejných budovách, ekologickú výrobu tepla a čistotu ovzdušia. Na mnohé z týchto dokumentov sú následne viazané aj dotačné zdroje – jednotlivé koncepcie sú povinnou prílohou pri žiadostiach o dotácie z fondov Európskych spoločenstiev alebo z tzv. grantových schém EÚ, vrátane dotácií pre programovacie obdobie EÚ v rokoch 2014 – 2020.</w:t>
      </w:r>
    </w:p>
    <w:p w:rsidR="005E2776" w:rsidRPr="005E2776" w:rsidRDefault="005E2776" w:rsidP="009F2BEB">
      <w:pPr>
        <w:spacing w:before="0" w:after="0"/>
        <w:jc w:val="both"/>
        <w:rPr>
          <w:rFonts w:eastAsia="Times New Roman" w:cs="Times New Roman"/>
          <w:b w:val="0"/>
          <w:color w:val="FA8D3D" w:themeColor="accent6"/>
          <w:sz w:val="20"/>
          <w:lang w:eastAsia="sk-SK"/>
        </w:rPr>
      </w:pPr>
    </w:p>
    <w:p w:rsidR="009F2BEB" w:rsidRDefault="009F2BEB" w:rsidP="009F2BEB">
      <w:pPr>
        <w:spacing w:before="0" w:after="0"/>
        <w:jc w:val="both"/>
        <w:rPr>
          <w:rFonts w:eastAsia="Times New Roman" w:cs="Times New Roman"/>
          <w:bCs/>
          <w:color w:val="FA8D3D" w:themeColor="accent6"/>
          <w:sz w:val="20"/>
          <w:lang w:eastAsia="sk-SK"/>
        </w:rPr>
      </w:pPr>
      <w:r w:rsidRPr="005E2776">
        <w:rPr>
          <w:rFonts w:eastAsia="Times New Roman" w:cs="Times New Roman"/>
          <w:bCs/>
          <w:color w:val="FA8D3D" w:themeColor="accent6"/>
          <w:sz w:val="20"/>
          <w:lang w:eastAsia="sk-SK"/>
        </w:rPr>
        <w:t xml:space="preserve">Vzhľadom k širokému záberu kompetencií samosprávy v rôznych oblastiach (sociálne veci, miestny rozvoj, odpadového hospodárstvo a pod.) je nevyhnutné čiastkové strategické dokumenty a koncepcie zosúladiť tak, aby spolu tvorili logický a harmonický celok. V praxi sa stáva, že koncepcie pre rozvoj subjektu verejnej správy v čiastkových oblastiach nie sú v súlade so všeobecnou a hlavnou stratégiou, akým je napríklad PHSR, prípadne túto čiastkovú tému PHSR neobsahuje. V najhoršom prípade môže byť čiastková koncepcia alebo viacero čiastkových koncepcií v rozpore s hlavným strategickým dokumentom daného subjektu, prípadne si čiastkové koncepcie navzájom odporujú (napríklad v oblasti odpadového hospodárstva a tepelnej energetiky). V takýchto prípadoch sú tieto koncepcie príťažou namiesto toho aby boli nástrojom na efektívne riadenie a rozvoj samosprávy. </w:t>
      </w:r>
    </w:p>
    <w:p w:rsidR="005E2776" w:rsidRPr="005E2776" w:rsidRDefault="005E2776" w:rsidP="009F2BEB">
      <w:pPr>
        <w:spacing w:before="0" w:after="0"/>
        <w:jc w:val="both"/>
        <w:rPr>
          <w:rFonts w:eastAsia="Times New Roman" w:cs="Times New Roman"/>
          <w:b w:val="0"/>
          <w:color w:val="FA8D3D" w:themeColor="accent6"/>
          <w:sz w:val="20"/>
          <w:lang w:eastAsia="sk-SK"/>
        </w:rPr>
      </w:pPr>
    </w:p>
    <w:p w:rsidR="009F2BEB" w:rsidRDefault="009F2BEB" w:rsidP="009F2BEB">
      <w:pPr>
        <w:spacing w:before="0" w:after="0"/>
        <w:jc w:val="both"/>
        <w:rPr>
          <w:rFonts w:eastAsia="Times New Roman" w:cs="Times New Roman"/>
          <w:bCs/>
          <w:color w:val="FA8D3D" w:themeColor="accent6"/>
          <w:sz w:val="20"/>
          <w:lang w:eastAsia="sk-SK"/>
        </w:rPr>
      </w:pPr>
      <w:r w:rsidRPr="005E2776">
        <w:rPr>
          <w:rFonts w:eastAsia="Times New Roman" w:cs="Times New Roman"/>
          <w:bCs/>
          <w:color w:val="FA8D3D" w:themeColor="accent6"/>
          <w:sz w:val="20"/>
          <w:lang w:eastAsia="sk-SK"/>
        </w:rPr>
        <w:t>Úspech, efektivita, výkonnosť a rozvoj samosprávy je priamo podmienená vytvorením vízie a filozofie jej smerovania, ktorá zaručí správnu funkčnosť aj pri obmedzených finančných zdrojoch. Kvalitné spracovanie koncepčných a strategických dokumentov, ktoré by boli navzájom prepojené a zosúladené, je nie len povinnosť, ale aj príležitosť pre obce a mestá na včlenenie sa medzi moderné a prosperujúce samosprávy najvyššej úrovne.</w:t>
      </w:r>
    </w:p>
    <w:p w:rsidR="005E2776" w:rsidRPr="005E2776" w:rsidRDefault="005E2776" w:rsidP="009F2BEB">
      <w:pPr>
        <w:spacing w:before="0" w:after="0"/>
        <w:jc w:val="both"/>
        <w:rPr>
          <w:rFonts w:eastAsia="Times New Roman" w:cs="Times New Roman"/>
          <w:b w:val="0"/>
          <w:color w:val="FA8D3D" w:themeColor="accent6"/>
          <w:sz w:val="20"/>
          <w:lang w:eastAsia="sk-SK"/>
        </w:rPr>
      </w:pPr>
    </w:p>
    <w:p w:rsidR="009F2BEB" w:rsidRPr="005E2776" w:rsidRDefault="009F2BEB" w:rsidP="009F2BEB">
      <w:pPr>
        <w:spacing w:before="0" w:after="0"/>
        <w:jc w:val="both"/>
        <w:rPr>
          <w:rFonts w:eastAsia="Times New Roman" w:cs="Times New Roman"/>
          <w:b w:val="0"/>
          <w:color w:val="FA8D3D" w:themeColor="accent6"/>
          <w:sz w:val="20"/>
          <w:lang w:eastAsia="sk-SK"/>
        </w:rPr>
      </w:pPr>
      <w:r w:rsidRPr="005E2776">
        <w:rPr>
          <w:rFonts w:eastAsia="Times New Roman" w:cs="Times New Roman"/>
          <w:bCs/>
          <w:color w:val="FA8D3D" w:themeColor="accent6"/>
          <w:sz w:val="20"/>
          <w:lang w:eastAsia="sk-SK"/>
        </w:rPr>
        <w:t>Spoločnosť MEDIA COELI</w:t>
      </w:r>
      <w:r w:rsidRPr="005E2776">
        <w:rPr>
          <w:rFonts w:eastAsia="Times New Roman" w:cs="Times New Roman"/>
          <w:bCs/>
          <w:color w:val="FA8D3D" w:themeColor="accent6"/>
          <w:sz w:val="20"/>
          <w:vertAlign w:val="superscript"/>
          <w:lang w:eastAsia="sk-SK"/>
        </w:rPr>
        <w:t xml:space="preserve"> ®</w:t>
      </w:r>
      <w:r w:rsidRPr="005E2776">
        <w:rPr>
          <w:rFonts w:eastAsia="Times New Roman" w:cs="Times New Roman"/>
          <w:bCs/>
          <w:color w:val="FA8D3D" w:themeColor="accent6"/>
          <w:sz w:val="20"/>
          <w:lang w:eastAsia="sk-SK"/>
        </w:rPr>
        <w:t xml:space="preserve"> ako tradičný tvorca koncepčných a strategických dokumentov najvyššieho štandardu Vám poskytne synchronizáciu existujúcich dokumentov do systémovo prepojeného celku, ich úpravu, alebo ich vytvorenie. Všetko naraz k nejakému termínu, alebo postupne v čase, tak ako bude potreba obnovy týchto dokumentov.</w:t>
      </w:r>
    </w:p>
    <w:p w:rsidR="0087202C" w:rsidRPr="005E2776" w:rsidRDefault="0087202C" w:rsidP="0087202C">
      <w:pPr>
        <w:spacing w:before="0" w:after="0"/>
        <w:jc w:val="both"/>
        <w:rPr>
          <w:rFonts w:ascii="Times New Roman" w:eastAsia="Times New Roman" w:hAnsi="Times New Roman" w:cs="Times New Roman"/>
          <w:b w:val="0"/>
          <w:color w:val="FA8D3D" w:themeColor="accent6"/>
          <w:sz w:val="20"/>
          <w:lang w:eastAsia="sk-SK"/>
        </w:rPr>
      </w:pPr>
      <w:r w:rsidRPr="005E2776">
        <w:rPr>
          <w:rFonts w:eastAsia="Times New Roman" w:cs="Times New Roman"/>
          <w:b w:val="0"/>
          <w:bCs/>
          <w:color w:val="FA8D3D" w:themeColor="accent6"/>
          <w:sz w:val="20"/>
          <w:lang w:eastAsia="sk-SK"/>
        </w:rPr>
        <w:t>.</w:t>
      </w:r>
    </w:p>
    <w:p w:rsidR="0095065F" w:rsidRPr="005E2776" w:rsidRDefault="0095065F" w:rsidP="0087202C">
      <w:pPr>
        <w:spacing w:before="0" w:after="0"/>
        <w:jc w:val="both"/>
        <w:rPr>
          <w:b w:val="0"/>
          <w:color w:val="FA8D3D" w:themeColor="accent6"/>
          <w:sz w:val="20"/>
        </w:rPr>
      </w:pPr>
    </w:p>
    <w:p w:rsidR="0095065F" w:rsidRPr="005E2776" w:rsidRDefault="0095065F" w:rsidP="0095065F">
      <w:pPr>
        <w:spacing w:before="0" w:after="0"/>
        <w:rPr>
          <w:color w:val="FA8D3D" w:themeColor="accent6"/>
          <w:sz w:val="20"/>
        </w:rPr>
      </w:pPr>
    </w:p>
    <w:p w:rsidR="00150353" w:rsidRPr="005E2776" w:rsidRDefault="00E169A8" w:rsidP="001F4AB6">
      <w:pPr>
        <w:spacing w:before="0" w:after="0" w:line="276" w:lineRule="auto"/>
        <w:rPr>
          <w:rStyle w:val="Hypertextovprepojenie"/>
          <w:color w:val="FA8D3D" w:themeColor="accent6"/>
          <w:sz w:val="16"/>
          <w:szCs w:val="16"/>
        </w:rPr>
      </w:pPr>
      <w:r w:rsidRPr="005E2776">
        <w:rPr>
          <w:color w:val="FA8D3D" w:themeColor="accent6"/>
          <w:sz w:val="16"/>
          <w:szCs w:val="16"/>
        </w:rPr>
        <w:t xml:space="preserve">verejne sprístupnené dielo MEDIA COELI </w:t>
      </w:r>
      <w:r w:rsidRPr="005E2776">
        <w:rPr>
          <w:color w:val="FA8D3D" w:themeColor="accent6"/>
          <w:sz w:val="16"/>
          <w:szCs w:val="16"/>
          <w:vertAlign w:val="superscript"/>
        </w:rPr>
        <w:t>®</w:t>
      </w:r>
      <w:r w:rsidRPr="005E2776">
        <w:rPr>
          <w:color w:val="FA8D3D" w:themeColor="accent6"/>
          <w:sz w:val="16"/>
          <w:szCs w:val="16"/>
        </w:rPr>
        <w:t xml:space="preserve"> podmienky: </w:t>
      </w:r>
      <w:hyperlink r:id="rId9" w:history="1">
        <w:r w:rsidR="00AE59CA" w:rsidRPr="005E2776">
          <w:rPr>
            <w:rStyle w:val="Hypertextovprepojenie"/>
            <w:color w:val="FA8D3D" w:themeColor="accent6"/>
            <w:sz w:val="16"/>
            <w:szCs w:val="16"/>
          </w:rPr>
          <w:t>www.mediacoeli.sk</w:t>
        </w:r>
      </w:hyperlink>
    </w:p>
    <w:p w:rsidR="001F4AB6" w:rsidRPr="005E2776" w:rsidRDefault="001F4AB6" w:rsidP="001F4AB6">
      <w:pPr>
        <w:spacing w:before="0" w:after="0" w:line="276" w:lineRule="auto"/>
        <w:rPr>
          <w:color w:val="FA8D3D" w:themeColor="accent6"/>
          <w:sz w:val="16"/>
          <w:szCs w:val="16"/>
        </w:rPr>
      </w:pPr>
    </w:p>
    <w:sdt>
      <w:sdtPr>
        <w:rPr>
          <w:color w:val="FA8D3D" w:themeColor="accent6"/>
          <w:sz w:val="16"/>
          <w:szCs w:val="16"/>
        </w:rPr>
        <w:id w:val="1950342598"/>
        <w:placeholder>
          <w:docPart w:val="DefaultPlaceholder_1082065158"/>
        </w:placeholder>
      </w:sdtPr>
      <w:sdtEndPr/>
      <w:sdtContent>
        <w:bookmarkStart w:id="0" w:name="_GoBack" w:displacedByCustomXml="prev"/>
        <w:p w:rsidR="000F69FA" w:rsidRPr="005E2776" w:rsidRDefault="000F69FA" w:rsidP="001F4AB6">
          <w:pPr>
            <w:spacing w:before="0" w:after="0" w:line="276" w:lineRule="auto"/>
            <w:rPr>
              <w:color w:val="FA8D3D" w:themeColor="accent6"/>
              <w:sz w:val="16"/>
              <w:szCs w:val="16"/>
            </w:rPr>
          </w:pPr>
          <w:r w:rsidRPr="005E2776">
            <w:rPr>
              <w:color w:val="FA8D3D" w:themeColor="accent6"/>
              <w:sz w:val="16"/>
              <w:szCs w:val="16"/>
            </w:rPr>
            <w:t xml:space="preserve">Váš konzultant: </w:t>
          </w:r>
        </w:p>
        <w:p w:rsidR="00495077" w:rsidRPr="005E2776" w:rsidRDefault="00495077" w:rsidP="001F4AB6">
          <w:pPr>
            <w:spacing w:before="0" w:after="0" w:line="276" w:lineRule="auto"/>
            <w:rPr>
              <w:color w:val="FA8D3D" w:themeColor="accent6"/>
              <w:sz w:val="16"/>
              <w:szCs w:val="16"/>
            </w:rPr>
          </w:pPr>
        </w:p>
        <w:p w:rsidR="00093E63" w:rsidRPr="005E2776" w:rsidRDefault="00093E63" w:rsidP="001F4AB6">
          <w:pPr>
            <w:spacing w:before="0" w:after="0" w:line="276" w:lineRule="auto"/>
            <w:rPr>
              <w:color w:val="FA8D3D" w:themeColor="accent6"/>
              <w:sz w:val="16"/>
              <w:szCs w:val="16"/>
            </w:rPr>
          </w:pPr>
        </w:p>
        <w:p w:rsidR="000F69FA" w:rsidRPr="005E2776" w:rsidRDefault="00C276C3" w:rsidP="001F4AB6">
          <w:pPr>
            <w:spacing w:before="0" w:after="0" w:line="276" w:lineRule="auto"/>
            <w:rPr>
              <w:color w:val="FA8D3D" w:themeColor="accent6"/>
              <w:sz w:val="16"/>
              <w:szCs w:val="16"/>
            </w:rPr>
          </w:pPr>
        </w:p>
        <w:bookmarkEnd w:id="0" w:displacedByCustomXml="next"/>
      </w:sdtContent>
    </w:sdt>
    <w:sectPr w:rsidR="000F69FA" w:rsidRPr="005E2776" w:rsidSect="006203D3">
      <w:headerReference w:type="default" r:id="rId10"/>
      <w:footerReference w:type="default" r:id="rId11"/>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C3" w:rsidRDefault="00C276C3" w:rsidP="00F4420D">
      <w:pPr>
        <w:spacing w:after="0"/>
      </w:pPr>
      <w:r>
        <w:separator/>
      </w:r>
    </w:p>
  </w:endnote>
  <w:endnote w:type="continuationSeparator" w:id="0">
    <w:p w:rsidR="00C276C3" w:rsidRDefault="00C276C3"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C276C3" w:rsidRPr="00C276C3">
      <w:rPr>
        <w:b w:val="0"/>
        <w:noProof/>
        <w:color w:val="A6A6A6" w:themeColor="background1" w:themeShade="A6"/>
        <w:sz w:val="16"/>
        <w:szCs w:val="16"/>
      </w:rPr>
      <w:t>1</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C276C3" w:rsidRPr="00C276C3">
      <w:rPr>
        <w:b w:val="0"/>
        <w:noProof/>
        <w:color w:val="A6A6A6" w:themeColor="background1" w:themeShade="A6"/>
        <w:sz w:val="16"/>
        <w:szCs w:val="16"/>
      </w:rPr>
      <w:t>1</w:t>
    </w:r>
    <w:r w:rsidRPr="009A5A3B">
      <w:rPr>
        <w:b w:val="0"/>
        <w:color w:val="A6A6A6" w:themeColor="background1" w:themeShade="A6"/>
        <w:sz w:val="16"/>
        <w:szCs w:val="16"/>
      </w:rPr>
      <w:fldChar w:fldCharType="end"/>
    </w: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C3" w:rsidRDefault="00C276C3" w:rsidP="00F4420D">
      <w:pPr>
        <w:spacing w:after="0"/>
      </w:pPr>
      <w:r>
        <w:separator/>
      </w:r>
    </w:p>
  </w:footnote>
  <w:footnote w:type="continuationSeparator" w:id="0">
    <w:p w:rsidR="00C276C3" w:rsidRDefault="00C276C3"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Pr="009A5A3B" w:rsidRDefault="00D4524F" w:rsidP="00A36AFE">
    <w:pPr>
      <w:jc w:val="right"/>
      <w:rPr>
        <w:b w:val="0"/>
        <w:color w:val="A6A6A6" w:themeColor="background1" w:themeShade="A6"/>
        <w:sz w:val="16"/>
        <w:szCs w:val="16"/>
      </w:rPr>
    </w:pPr>
    <w:r>
      <w:rPr>
        <w:color w:val="A6A6A6" w:themeColor="background1" w:themeShade="A6"/>
        <w:sz w:val="16"/>
        <w:szCs w:val="16"/>
      </w:rPr>
      <w:t>S</w:t>
    </w:r>
    <w:r w:rsidR="00CB6FD5">
      <w:rPr>
        <w:color w:val="A6A6A6" w:themeColor="background1" w:themeShade="A6"/>
        <w:sz w:val="16"/>
        <w:szCs w:val="16"/>
      </w:rPr>
      <w:t xml:space="preserve">ynchronizácia </w:t>
    </w:r>
    <w:r>
      <w:rPr>
        <w:color w:val="A6A6A6" w:themeColor="background1" w:themeShade="A6"/>
        <w:sz w:val="16"/>
        <w:szCs w:val="16"/>
      </w:rPr>
      <w:t xml:space="preserve">koncepčných a </w:t>
    </w:r>
    <w:r w:rsidR="00CB6FD5">
      <w:rPr>
        <w:color w:val="A6A6A6" w:themeColor="background1" w:themeShade="A6"/>
        <w:sz w:val="16"/>
        <w:szCs w:val="16"/>
      </w:rPr>
      <w:t>strategických dokumentov</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2C6141D4" wp14:editId="2A273902">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v8HjuMZ7r8Lxz/6WWh9dZCjPJ4=" w:salt="6u3u5g/wgtbnJW0OtgdLO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F69FA"/>
    <w:rsid w:val="00116E14"/>
    <w:rsid w:val="00135392"/>
    <w:rsid w:val="00150353"/>
    <w:rsid w:val="00157167"/>
    <w:rsid w:val="00164B21"/>
    <w:rsid w:val="00171F91"/>
    <w:rsid w:val="0018154F"/>
    <w:rsid w:val="001932A8"/>
    <w:rsid w:val="001F4AB6"/>
    <w:rsid w:val="00241D19"/>
    <w:rsid w:val="0028147B"/>
    <w:rsid w:val="00310D4D"/>
    <w:rsid w:val="00336689"/>
    <w:rsid w:val="00336A09"/>
    <w:rsid w:val="00343F10"/>
    <w:rsid w:val="00353059"/>
    <w:rsid w:val="00355AA0"/>
    <w:rsid w:val="00357DD7"/>
    <w:rsid w:val="0036304F"/>
    <w:rsid w:val="0037703B"/>
    <w:rsid w:val="003A4705"/>
    <w:rsid w:val="00447FFD"/>
    <w:rsid w:val="00460A9F"/>
    <w:rsid w:val="0047619C"/>
    <w:rsid w:val="00495077"/>
    <w:rsid w:val="004B073A"/>
    <w:rsid w:val="004B5637"/>
    <w:rsid w:val="004D5EC9"/>
    <w:rsid w:val="004E3C47"/>
    <w:rsid w:val="00504833"/>
    <w:rsid w:val="0052339A"/>
    <w:rsid w:val="00536A81"/>
    <w:rsid w:val="00542CC6"/>
    <w:rsid w:val="005925B6"/>
    <w:rsid w:val="005A643E"/>
    <w:rsid w:val="005E2776"/>
    <w:rsid w:val="00602EF9"/>
    <w:rsid w:val="006203D3"/>
    <w:rsid w:val="00645C24"/>
    <w:rsid w:val="00673F90"/>
    <w:rsid w:val="00681C33"/>
    <w:rsid w:val="006B6987"/>
    <w:rsid w:val="006B6DE2"/>
    <w:rsid w:val="0072638E"/>
    <w:rsid w:val="00736B3E"/>
    <w:rsid w:val="007617E7"/>
    <w:rsid w:val="00787A94"/>
    <w:rsid w:val="007C3213"/>
    <w:rsid w:val="00804257"/>
    <w:rsid w:val="00854341"/>
    <w:rsid w:val="0087202C"/>
    <w:rsid w:val="00894C03"/>
    <w:rsid w:val="008B031E"/>
    <w:rsid w:val="008B6A15"/>
    <w:rsid w:val="008D55A4"/>
    <w:rsid w:val="008D6AAF"/>
    <w:rsid w:val="008E1621"/>
    <w:rsid w:val="0090074C"/>
    <w:rsid w:val="00903B51"/>
    <w:rsid w:val="009270AE"/>
    <w:rsid w:val="009302C4"/>
    <w:rsid w:val="00933269"/>
    <w:rsid w:val="0095065F"/>
    <w:rsid w:val="009715A2"/>
    <w:rsid w:val="00975E71"/>
    <w:rsid w:val="00976F00"/>
    <w:rsid w:val="00977888"/>
    <w:rsid w:val="009A5A3B"/>
    <w:rsid w:val="009F2BEB"/>
    <w:rsid w:val="00A157B4"/>
    <w:rsid w:val="00A36AFE"/>
    <w:rsid w:val="00A427D7"/>
    <w:rsid w:val="00AA5082"/>
    <w:rsid w:val="00AE59CA"/>
    <w:rsid w:val="00B43241"/>
    <w:rsid w:val="00BE4284"/>
    <w:rsid w:val="00BF6324"/>
    <w:rsid w:val="00BF7C27"/>
    <w:rsid w:val="00C276C3"/>
    <w:rsid w:val="00C84B9F"/>
    <w:rsid w:val="00C869DB"/>
    <w:rsid w:val="00CA4707"/>
    <w:rsid w:val="00CB6FD5"/>
    <w:rsid w:val="00CC3E8D"/>
    <w:rsid w:val="00CD484A"/>
    <w:rsid w:val="00D0790B"/>
    <w:rsid w:val="00D10615"/>
    <w:rsid w:val="00D27E40"/>
    <w:rsid w:val="00D4524F"/>
    <w:rsid w:val="00D51B96"/>
    <w:rsid w:val="00D80350"/>
    <w:rsid w:val="00DB0B54"/>
    <w:rsid w:val="00E169A8"/>
    <w:rsid w:val="00E268DD"/>
    <w:rsid w:val="00E26E26"/>
    <w:rsid w:val="00E8111B"/>
    <w:rsid w:val="00EA59F7"/>
    <w:rsid w:val="00EC3558"/>
    <w:rsid w:val="00ED751C"/>
    <w:rsid w:val="00F04A00"/>
    <w:rsid w:val="00F10D78"/>
    <w:rsid w:val="00F4420D"/>
    <w:rsid w:val="00F92162"/>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character" w:styleId="Siln">
    <w:name w:val="Strong"/>
    <w:basedOn w:val="Predvolenpsmoodseku"/>
    <w:uiPriority w:val="22"/>
    <w:qFormat/>
    <w:rsid w:val="009F2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character" w:styleId="Siln">
    <w:name w:val="Strong"/>
    <w:basedOn w:val="Predvolenpsmoodseku"/>
    <w:uiPriority w:val="22"/>
    <w:qFormat/>
    <w:rsid w:val="009F2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337732480">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iacoeli.sk/detail-29-mediacoeli_Licen&#269;n&#225;_dohoda_na_verejne_spr&#237;stupnen&#233;_diela_MEDIA_COELI_&#174;.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4A18D4"/>
    <w:rsid w:val="00670F02"/>
    <w:rsid w:val="00677726"/>
    <w:rsid w:val="00717489"/>
    <w:rsid w:val="0086398C"/>
    <w:rsid w:val="00A3700D"/>
    <w:rsid w:val="00B6417A"/>
    <w:rsid w:val="00D91FD6"/>
    <w:rsid w:val="00DE406D"/>
    <w:rsid w:val="00E04870"/>
    <w:rsid w:val="00E43644"/>
    <w:rsid w:val="00E52C02"/>
    <w:rsid w:val="00EC78B3"/>
    <w:rsid w:val="00FE5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8C553-9B78-49C2-BF77-22A562A7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2725</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Synchronizácia koncepčných a strategických dokumentov</vt:lpstr>
    </vt:vector>
  </TitlesOfParts>
  <Company>MEDIA COELI ®, Pekárska 11, 917 01 Trnava, Slovakia, info@mediacoeli.sk, SK, CZ: 00421911907188,  English, French, German: 00421904807188, www.mediacoeli.sk</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Synchronizácia koncepčných a strategických dokumentov</dc:title>
  <dc:creator>MEDIA COELI ®</dc:creator>
  <cp:lastModifiedBy>Milena Mrvová</cp:lastModifiedBy>
  <cp:revision>7</cp:revision>
  <cp:lastPrinted>2013-01-20T19:50:00Z</cp:lastPrinted>
  <dcterms:created xsi:type="dcterms:W3CDTF">2013-01-16T08:06:00Z</dcterms:created>
  <dcterms:modified xsi:type="dcterms:W3CDTF">2013-01-20T19:51:00Z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