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7B3C9B" w:rsidRDefault="00357DD7" w:rsidP="007024DB">
      <w:pPr>
        <w:spacing w:before="0" w:after="0"/>
        <w:jc w:val="both"/>
        <w:rPr>
          <w:b w:val="0"/>
          <w:color w:val="874295" w:themeColor="accent2" w:themeShade="BF"/>
          <w:sz w:val="20"/>
        </w:rPr>
      </w:pPr>
    </w:p>
    <w:p w:rsidR="00386013" w:rsidRPr="00386013" w:rsidRDefault="00386013" w:rsidP="00386013">
      <w:pPr>
        <w:spacing w:before="100" w:beforeAutospacing="1" w:after="0"/>
        <w:rPr>
          <w:rFonts w:ascii="Times New Roman" w:eastAsia="Times New Roman" w:hAnsi="Times New Roman" w:cs="Times New Roman"/>
          <w:b w:val="0"/>
          <w:color w:val="874295" w:themeColor="accent2" w:themeShade="BF"/>
          <w:sz w:val="24"/>
          <w:szCs w:val="24"/>
          <w:lang w:val="en" w:eastAsia="sk-SK"/>
        </w:rPr>
      </w:pPr>
      <w:r w:rsidRPr="00386013">
        <w:rPr>
          <w:rFonts w:eastAsia="Times New Roman" w:cs="Times New Roman"/>
          <w:bCs/>
          <w:color w:val="874295" w:themeColor="accent2" w:themeShade="BF"/>
          <w:sz w:val="20"/>
          <w:lang w:val="en" w:eastAsia="sk-SK"/>
        </w:rPr>
        <w:t>Európska banka pre obnovu a rozvoj (EBOR) – úvery</w:t>
      </w:r>
    </w:p>
    <w:p w:rsidR="00386013" w:rsidRPr="00386013" w:rsidRDefault="00386013" w:rsidP="00386013">
      <w:pPr>
        <w:spacing w:before="100" w:beforeAutospacing="1" w:after="0"/>
        <w:rPr>
          <w:rFonts w:ascii="Times New Roman" w:eastAsia="Times New Roman" w:hAnsi="Times New Roman" w:cs="Times New Roman"/>
          <w:b w:val="0"/>
          <w:color w:val="874295" w:themeColor="accent2" w:themeShade="BF"/>
          <w:sz w:val="24"/>
          <w:szCs w:val="24"/>
          <w:lang w:val="en" w:eastAsia="sk-SK"/>
        </w:rPr>
      </w:pPr>
      <w:r w:rsidRPr="00386013">
        <w:rPr>
          <w:rFonts w:eastAsia="Times New Roman" w:cs="Times New Roman"/>
          <w:b w:val="0"/>
          <w:color w:val="874295" w:themeColor="accent2" w:themeShade="BF"/>
          <w:sz w:val="20"/>
          <w:lang w:val="en" w:eastAsia="sk-SK"/>
        </w:rPr>
        <w:t>Prioritou banky na úzení Slovenskej republiky je podpora malých a stredných podnikov a verejnej správy cez miestne banky. Takzvané veľké projekty však banka financuje priamo – formou úverov, záruk alebo equity.</w:t>
      </w:r>
    </w:p>
    <w:p w:rsidR="00386013" w:rsidRPr="00386013" w:rsidRDefault="00386013" w:rsidP="00386013">
      <w:pPr>
        <w:spacing w:before="100" w:beforeAutospacing="1" w:after="0"/>
        <w:rPr>
          <w:rFonts w:ascii="Times New Roman" w:eastAsia="Times New Roman" w:hAnsi="Times New Roman" w:cs="Times New Roman"/>
          <w:b w:val="0"/>
          <w:color w:val="874295" w:themeColor="accent2" w:themeShade="BF"/>
          <w:sz w:val="24"/>
          <w:szCs w:val="24"/>
          <w:lang w:val="en" w:eastAsia="sk-SK"/>
        </w:rPr>
      </w:pPr>
      <w:r w:rsidRPr="00386013">
        <w:rPr>
          <w:rFonts w:eastAsia="Times New Roman" w:cs="Times New Roman"/>
          <w:bCs/>
          <w:color w:val="874295" w:themeColor="accent2" w:themeShade="BF"/>
          <w:sz w:val="20"/>
          <w:lang w:val="en" w:eastAsia="sk-SK"/>
        </w:rPr>
        <w:t>1. Podmienky priameho úverovania:</w:t>
      </w:r>
    </w:p>
    <w:p w:rsidR="00386013" w:rsidRPr="00386013" w:rsidRDefault="00386013" w:rsidP="00386013">
      <w:pPr>
        <w:numPr>
          <w:ilvl w:val="0"/>
          <w:numId w:val="2"/>
        </w:numPr>
        <w:spacing w:before="100" w:beforeAutospacing="1" w:after="0"/>
        <w:rPr>
          <w:rFonts w:ascii="Times New Roman" w:eastAsia="Times New Roman" w:hAnsi="Times New Roman" w:cs="Times New Roman"/>
          <w:b w:val="0"/>
          <w:color w:val="874295" w:themeColor="accent2" w:themeShade="BF"/>
          <w:sz w:val="24"/>
          <w:szCs w:val="24"/>
          <w:lang w:val="en" w:eastAsia="sk-SK"/>
        </w:rPr>
      </w:pPr>
      <w:r w:rsidRPr="00386013">
        <w:rPr>
          <w:rFonts w:eastAsia="Times New Roman" w:cs="Times New Roman"/>
          <w:b w:val="0"/>
          <w:color w:val="874295" w:themeColor="accent2" w:themeShade="BF"/>
          <w:sz w:val="20"/>
          <w:lang w:val="en" w:eastAsia="sk-SK"/>
        </w:rPr>
        <w:t>projekty v rozsahu 5 mil. - 250 mil. EUR, v priemere 25 mil. EUR</w:t>
      </w:r>
    </w:p>
    <w:p w:rsidR="00386013" w:rsidRPr="00386013" w:rsidRDefault="00386013" w:rsidP="00386013">
      <w:pPr>
        <w:numPr>
          <w:ilvl w:val="0"/>
          <w:numId w:val="2"/>
        </w:numPr>
        <w:spacing w:before="100" w:beforeAutospacing="1" w:after="0"/>
        <w:rPr>
          <w:rFonts w:ascii="Times New Roman" w:eastAsia="Times New Roman" w:hAnsi="Times New Roman" w:cs="Times New Roman"/>
          <w:b w:val="0"/>
          <w:color w:val="874295" w:themeColor="accent2" w:themeShade="BF"/>
          <w:sz w:val="24"/>
          <w:szCs w:val="24"/>
          <w:lang w:val="en" w:eastAsia="sk-SK"/>
        </w:rPr>
      </w:pPr>
      <w:r w:rsidRPr="00386013">
        <w:rPr>
          <w:rFonts w:eastAsia="Times New Roman" w:cs="Times New Roman"/>
          <w:b w:val="0"/>
          <w:color w:val="874295" w:themeColor="accent2" w:themeShade="BF"/>
          <w:sz w:val="20"/>
          <w:lang w:val="en" w:eastAsia="sk-SK"/>
        </w:rPr>
        <w:t>fixovaný alebo plávajúci úrok</w:t>
      </w:r>
    </w:p>
    <w:p w:rsidR="00386013" w:rsidRPr="00386013" w:rsidRDefault="00386013" w:rsidP="00386013">
      <w:pPr>
        <w:numPr>
          <w:ilvl w:val="0"/>
          <w:numId w:val="2"/>
        </w:numPr>
        <w:spacing w:before="100" w:beforeAutospacing="1" w:after="0"/>
        <w:rPr>
          <w:rFonts w:ascii="Times New Roman" w:eastAsia="Times New Roman" w:hAnsi="Times New Roman" w:cs="Times New Roman"/>
          <w:b w:val="0"/>
          <w:color w:val="874295" w:themeColor="accent2" w:themeShade="BF"/>
          <w:sz w:val="24"/>
          <w:szCs w:val="24"/>
          <w:lang w:val="en" w:eastAsia="sk-SK"/>
        </w:rPr>
      </w:pPr>
      <w:r w:rsidRPr="00386013">
        <w:rPr>
          <w:rFonts w:eastAsia="Times New Roman" w:cs="Times New Roman"/>
          <w:b w:val="0"/>
          <w:color w:val="874295" w:themeColor="accent2" w:themeShade="BF"/>
          <w:sz w:val="20"/>
          <w:lang w:val="en" w:eastAsia="sk-SK"/>
        </w:rPr>
        <w:t>primárne úvery, podriadené úvery, preklenovacie úvery alebo konvertovateľné úvery</w:t>
      </w:r>
    </w:p>
    <w:p w:rsidR="00386013" w:rsidRPr="00386013" w:rsidRDefault="00386013" w:rsidP="00386013">
      <w:pPr>
        <w:numPr>
          <w:ilvl w:val="0"/>
          <w:numId w:val="2"/>
        </w:numPr>
        <w:spacing w:before="100" w:beforeAutospacing="1" w:after="0"/>
        <w:rPr>
          <w:rFonts w:ascii="Times New Roman" w:eastAsia="Times New Roman" w:hAnsi="Times New Roman" w:cs="Times New Roman"/>
          <w:b w:val="0"/>
          <w:color w:val="874295" w:themeColor="accent2" w:themeShade="BF"/>
          <w:sz w:val="24"/>
          <w:szCs w:val="24"/>
          <w:lang w:val="en" w:eastAsia="sk-SK"/>
        </w:rPr>
      </w:pPr>
      <w:r w:rsidRPr="00386013">
        <w:rPr>
          <w:rFonts w:eastAsia="Times New Roman" w:cs="Times New Roman"/>
          <w:b w:val="0"/>
          <w:color w:val="874295" w:themeColor="accent2" w:themeShade="BF"/>
          <w:sz w:val="20"/>
          <w:lang w:val="en" w:eastAsia="sk-SK"/>
        </w:rPr>
        <w:t>poskytovanie úverov vo všetkých hlavných menách</w:t>
      </w:r>
    </w:p>
    <w:p w:rsidR="00386013" w:rsidRPr="00386013" w:rsidRDefault="00386013" w:rsidP="00386013">
      <w:pPr>
        <w:numPr>
          <w:ilvl w:val="0"/>
          <w:numId w:val="2"/>
        </w:numPr>
        <w:spacing w:before="100" w:beforeAutospacing="1" w:after="0"/>
        <w:rPr>
          <w:rFonts w:ascii="Times New Roman" w:eastAsia="Times New Roman" w:hAnsi="Times New Roman" w:cs="Times New Roman"/>
          <w:b w:val="0"/>
          <w:color w:val="874295" w:themeColor="accent2" w:themeShade="BF"/>
          <w:sz w:val="24"/>
          <w:szCs w:val="24"/>
          <w:lang w:val="en" w:eastAsia="sk-SK"/>
        </w:rPr>
      </w:pPr>
      <w:r w:rsidRPr="00386013">
        <w:rPr>
          <w:rFonts w:eastAsia="Times New Roman" w:cs="Times New Roman"/>
          <w:b w:val="0"/>
          <w:color w:val="874295" w:themeColor="accent2" w:themeShade="BF"/>
          <w:sz w:val="20"/>
          <w:lang w:val="en" w:eastAsia="sk-SK"/>
        </w:rPr>
        <w:t>dĺžka trvania úveru od 5 do 15 rokov</w:t>
      </w:r>
    </w:p>
    <w:p w:rsidR="00386013" w:rsidRPr="00386013" w:rsidRDefault="00386013" w:rsidP="00386013">
      <w:pPr>
        <w:numPr>
          <w:ilvl w:val="0"/>
          <w:numId w:val="2"/>
        </w:numPr>
        <w:spacing w:before="100" w:beforeAutospacing="1" w:after="0"/>
        <w:rPr>
          <w:rFonts w:ascii="Times New Roman" w:eastAsia="Times New Roman" w:hAnsi="Times New Roman" w:cs="Times New Roman"/>
          <w:b w:val="0"/>
          <w:color w:val="874295" w:themeColor="accent2" w:themeShade="BF"/>
          <w:sz w:val="24"/>
          <w:szCs w:val="24"/>
          <w:lang w:val="en" w:eastAsia="sk-SK"/>
        </w:rPr>
      </w:pPr>
      <w:r w:rsidRPr="00386013">
        <w:rPr>
          <w:rFonts w:eastAsia="Times New Roman" w:cs="Times New Roman"/>
          <w:b w:val="0"/>
          <w:color w:val="874295" w:themeColor="accent2" w:themeShade="BF"/>
          <w:sz w:val="20"/>
          <w:lang w:val="en" w:eastAsia="sk-SK"/>
        </w:rPr>
        <w:t>možnosť odkladu splátok počas doby výstavby</w:t>
      </w:r>
    </w:p>
    <w:p w:rsidR="00386013" w:rsidRPr="00386013" w:rsidRDefault="00386013" w:rsidP="00386013">
      <w:pPr>
        <w:numPr>
          <w:ilvl w:val="0"/>
          <w:numId w:val="3"/>
        </w:numPr>
        <w:spacing w:before="100" w:beforeAutospacing="1" w:after="0"/>
        <w:rPr>
          <w:rFonts w:ascii="Times New Roman" w:eastAsia="Times New Roman" w:hAnsi="Times New Roman" w:cs="Times New Roman"/>
          <w:b w:val="0"/>
          <w:color w:val="874295" w:themeColor="accent2" w:themeShade="BF"/>
          <w:sz w:val="24"/>
          <w:szCs w:val="24"/>
          <w:lang w:val="en" w:eastAsia="sk-SK"/>
        </w:rPr>
      </w:pPr>
      <w:r w:rsidRPr="00386013">
        <w:rPr>
          <w:rFonts w:eastAsia="Times New Roman" w:cs="Times New Roman"/>
          <w:b w:val="0"/>
          <w:color w:val="874295" w:themeColor="accent2" w:themeShade="BF"/>
          <w:sz w:val="20"/>
          <w:lang w:val="en" w:eastAsia="sk-SK"/>
        </w:rPr>
        <w:t xml:space="preserve">výška financovania: </w:t>
      </w:r>
    </w:p>
    <w:p w:rsidR="00386013" w:rsidRPr="00386013" w:rsidRDefault="00386013" w:rsidP="00386013">
      <w:pPr>
        <w:numPr>
          <w:ilvl w:val="1"/>
          <w:numId w:val="3"/>
        </w:numPr>
        <w:spacing w:before="100" w:beforeAutospacing="1" w:after="0"/>
        <w:rPr>
          <w:rFonts w:ascii="Times New Roman" w:eastAsia="Times New Roman" w:hAnsi="Times New Roman" w:cs="Times New Roman"/>
          <w:b w:val="0"/>
          <w:color w:val="874295" w:themeColor="accent2" w:themeShade="BF"/>
          <w:sz w:val="24"/>
          <w:szCs w:val="24"/>
          <w:lang w:val="en" w:eastAsia="sk-SK"/>
        </w:rPr>
      </w:pPr>
      <w:r w:rsidRPr="00386013">
        <w:rPr>
          <w:rFonts w:eastAsia="Times New Roman" w:cs="Times New Roman"/>
          <w:b w:val="0"/>
          <w:color w:val="874295" w:themeColor="accent2" w:themeShade="BF"/>
          <w:sz w:val="20"/>
          <w:lang w:val="en" w:eastAsia="sk-SK"/>
        </w:rPr>
        <w:t>do 35 % pri projektoch na zelenej lúke alebo 35% pri dlhodobých investíciách existujúcich spoločností (s históriou)</w:t>
      </w:r>
    </w:p>
    <w:p w:rsidR="00386013" w:rsidRPr="00386013" w:rsidRDefault="00386013" w:rsidP="00386013">
      <w:pPr>
        <w:numPr>
          <w:ilvl w:val="1"/>
          <w:numId w:val="3"/>
        </w:numPr>
        <w:spacing w:before="100" w:beforeAutospacing="1" w:after="0"/>
        <w:rPr>
          <w:rFonts w:ascii="Times New Roman" w:eastAsia="Times New Roman" w:hAnsi="Times New Roman" w:cs="Times New Roman"/>
          <w:b w:val="0"/>
          <w:color w:val="874295" w:themeColor="accent2" w:themeShade="BF"/>
          <w:sz w:val="24"/>
          <w:szCs w:val="24"/>
          <w:lang w:val="en" w:eastAsia="sk-SK"/>
        </w:rPr>
      </w:pPr>
      <w:r w:rsidRPr="00386013">
        <w:rPr>
          <w:rFonts w:eastAsia="Times New Roman" w:cs="Times New Roman"/>
          <w:b w:val="0"/>
          <w:color w:val="874295" w:themeColor="accent2" w:themeShade="BF"/>
          <w:sz w:val="20"/>
          <w:lang w:val="en" w:eastAsia="sk-SK"/>
        </w:rPr>
        <w:t>je potrebné ďalšie financovanie zo súkromných zdrojov, pričom EBOR môže pomôcť pri hľadaní ďalších investorov formou konzorcia</w:t>
      </w:r>
    </w:p>
    <w:p w:rsidR="00386013" w:rsidRPr="00386013" w:rsidRDefault="00386013" w:rsidP="00386013">
      <w:pPr>
        <w:numPr>
          <w:ilvl w:val="1"/>
          <w:numId w:val="3"/>
        </w:numPr>
        <w:spacing w:before="100" w:beforeAutospacing="1" w:after="0"/>
        <w:rPr>
          <w:rFonts w:ascii="Times New Roman" w:eastAsia="Times New Roman" w:hAnsi="Times New Roman" w:cs="Times New Roman"/>
          <w:b w:val="0"/>
          <w:color w:val="874295" w:themeColor="accent2" w:themeShade="BF"/>
          <w:sz w:val="24"/>
          <w:szCs w:val="24"/>
          <w:lang w:val="en" w:eastAsia="sk-SK"/>
        </w:rPr>
      </w:pPr>
      <w:r w:rsidRPr="00386013">
        <w:rPr>
          <w:rFonts w:eastAsia="Times New Roman" w:cs="Times New Roman"/>
          <w:b w:val="0"/>
          <w:color w:val="874295" w:themeColor="accent2" w:themeShade="BF"/>
          <w:sz w:val="20"/>
          <w:lang w:val="en" w:eastAsia="sk-SK"/>
        </w:rPr>
        <w:t>zvyčajne je minimálne jedna tretina nákladov financovaná formou equity (vlastných zdrojov)</w:t>
      </w:r>
    </w:p>
    <w:p w:rsidR="00386013" w:rsidRPr="00386013" w:rsidRDefault="00386013" w:rsidP="00386013">
      <w:pPr>
        <w:numPr>
          <w:ilvl w:val="1"/>
          <w:numId w:val="3"/>
        </w:numPr>
        <w:spacing w:before="100" w:beforeAutospacing="1" w:after="0"/>
        <w:rPr>
          <w:rFonts w:ascii="Times New Roman" w:eastAsia="Times New Roman" w:hAnsi="Times New Roman" w:cs="Times New Roman"/>
          <w:b w:val="0"/>
          <w:color w:val="874295" w:themeColor="accent2" w:themeShade="BF"/>
          <w:sz w:val="24"/>
          <w:szCs w:val="24"/>
          <w:lang w:val="en" w:eastAsia="sk-SK"/>
        </w:rPr>
      </w:pPr>
      <w:r w:rsidRPr="00386013">
        <w:rPr>
          <w:rFonts w:eastAsia="Times New Roman" w:cs="Times New Roman"/>
          <w:b w:val="0"/>
          <w:color w:val="874295" w:themeColor="accent2" w:themeShade="BF"/>
          <w:sz w:val="20"/>
          <w:lang w:val="en" w:eastAsia="sk-SK"/>
        </w:rPr>
        <w:t>od nositeľov projektu (väčšina podielov vo firme, adekvátny dosah na riadenie) sa vyžaduje významný finančný príspevok, pričom sa berú do úvahy aj nepeňažné príspevky</w:t>
      </w:r>
    </w:p>
    <w:p w:rsidR="00386013" w:rsidRPr="00386013" w:rsidRDefault="00386013" w:rsidP="00386013">
      <w:pPr>
        <w:spacing w:before="100" w:beforeAutospacing="1" w:after="0"/>
        <w:rPr>
          <w:rFonts w:ascii="Times New Roman" w:eastAsia="Times New Roman" w:hAnsi="Times New Roman" w:cs="Times New Roman"/>
          <w:b w:val="0"/>
          <w:color w:val="874295" w:themeColor="accent2" w:themeShade="BF"/>
          <w:sz w:val="24"/>
          <w:szCs w:val="24"/>
          <w:lang w:val="en" w:eastAsia="sk-SK"/>
        </w:rPr>
      </w:pPr>
      <w:r w:rsidRPr="00386013">
        <w:rPr>
          <w:rFonts w:eastAsia="Times New Roman" w:cs="Times New Roman"/>
          <w:bCs/>
          <w:color w:val="874295" w:themeColor="accent2" w:themeShade="BF"/>
          <w:sz w:val="20"/>
          <w:lang w:val="en" w:eastAsia="sk-SK"/>
        </w:rPr>
        <w:t>2. Equita</w:t>
      </w:r>
    </w:p>
    <w:p w:rsidR="00386013" w:rsidRPr="00386013" w:rsidRDefault="00386013" w:rsidP="00386013">
      <w:pPr>
        <w:spacing w:before="100" w:beforeAutospacing="1" w:after="0"/>
        <w:rPr>
          <w:rFonts w:ascii="Times New Roman" w:eastAsia="Times New Roman" w:hAnsi="Times New Roman" w:cs="Times New Roman"/>
          <w:b w:val="0"/>
          <w:color w:val="874295" w:themeColor="accent2" w:themeShade="BF"/>
          <w:sz w:val="24"/>
          <w:szCs w:val="24"/>
          <w:lang w:val="en" w:eastAsia="sk-SK"/>
        </w:rPr>
      </w:pPr>
      <w:r w:rsidRPr="00386013">
        <w:rPr>
          <w:rFonts w:eastAsia="Times New Roman" w:cs="Times New Roman"/>
          <w:b w:val="0"/>
          <w:color w:val="874295" w:themeColor="accent2" w:themeShade="BF"/>
          <w:sz w:val="20"/>
          <w:lang w:val="en" w:eastAsia="sk-SK"/>
        </w:rPr>
        <w:t>EBOR môže priamo investovať v rozsahu 2 mil. - 100 mil. EUR do priemyslu, infraštruktúry a finančného sektora. V takomto prípade si nárokuje iba na menšinový podiel a má jasnú exit stratégiu.</w:t>
      </w:r>
    </w:p>
    <w:p w:rsidR="00386013" w:rsidRPr="00386013" w:rsidRDefault="00386013" w:rsidP="00386013">
      <w:pPr>
        <w:spacing w:before="100" w:beforeAutospacing="1" w:after="0"/>
        <w:rPr>
          <w:rFonts w:ascii="Times New Roman" w:eastAsia="Times New Roman" w:hAnsi="Times New Roman" w:cs="Times New Roman"/>
          <w:b w:val="0"/>
          <w:color w:val="874295" w:themeColor="accent2" w:themeShade="BF"/>
          <w:sz w:val="24"/>
          <w:szCs w:val="24"/>
          <w:lang w:val="en" w:eastAsia="sk-SK"/>
        </w:rPr>
      </w:pPr>
      <w:r w:rsidRPr="00386013">
        <w:rPr>
          <w:rFonts w:eastAsia="Times New Roman" w:cs="Times New Roman"/>
          <w:b w:val="0"/>
          <w:color w:val="874295" w:themeColor="accent2" w:themeShade="BF"/>
          <w:sz w:val="20"/>
          <w:lang w:val="en" w:eastAsia="sk-SK"/>
        </w:rPr>
        <w:t>Medzi konkrétne formy pomoci patria:</w:t>
      </w:r>
    </w:p>
    <w:p w:rsidR="00386013" w:rsidRPr="00386013" w:rsidRDefault="00386013" w:rsidP="00386013">
      <w:pPr>
        <w:numPr>
          <w:ilvl w:val="0"/>
          <w:numId w:val="4"/>
        </w:numPr>
        <w:spacing w:before="100" w:beforeAutospacing="1" w:after="0"/>
        <w:rPr>
          <w:rFonts w:ascii="Times New Roman" w:eastAsia="Times New Roman" w:hAnsi="Times New Roman" w:cs="Times New Roman"/>
          <w:b w:val="0"/>
          <w:color w:val="874295" w:themeColor="accent2" w:themeShade="BF"/>
          <w:sz w:val="24"/>
          <w:szCs w:val="24"/>
          <w:lang w:val="en" w:eastAsia="sk-SK"/>
        </w:rPr>
      </w:pPr>
      <w:r w:rsidRPr="00386013">
        <w:rPr>
          <w:rFonts w:eastAsia="Times New Roman" w:cs="Times New Roman"/>
          <w:b w:val="0"/>
          <w:color w:val="874295" w:themeColor="accent2" w:themeShade="BF"/>
          <w:sz w:val="20"/>
          <w:lang w:val="en" w:eastAsia="sk-SK"/>
        </w:rPr>
        <w:t>štandardné podiely</w:t>
      </w:r>
    </w:p>
    <w:p w:rsidR="00386013" w:rsidRPr="00386013" w:rsidRDefault="00386013" w:rsidP="00386013">
      <w:pPr>
        <w:numPr>
          <w:ilvl w:val="0"/>
          <w:numId w:val="4"/>
        </w:numPr>
        <w:spacing w:before="100" w:beforeAutospacing="1" w:after="0"/>
        <w:rPr>
          <w:rFonts w:ascii="Times New Roman" w:eastAsia="Times New Roman" w:hAnsi="Times New Roman" w:cs="Times New Roman"/>
          <w:b w:val="0"/>
          <w:color w:val="874295" w:themeColor="accent2" w:themeShade="BF"/>
          <w:sz w:val="24"/>
          <w:szCs w:val="24"/>
          <w:lang w:val="en" w:eastAsia="sk-SK"/>
        </w:rPr>
      </w:pPr>
      <w:r w:rsidRPr="00386013">
        <w:rPr>
          <w:rFonts w:eastAsia="Times New Roman" w:cs="Times New Roman"/>
          <w:b w:val="0"/>
          <w:color w:val="874295" w:themeColor="accent2" w:themeShade="BF"/>
          <w:sz w:val="20"/>
          <w:lang w:val="en" w:eastAsia="sk-SK"/>
        </w:rPr>
        <w:t>prioritné akcie</w:t>
      </w:r>
    </w:p>
    <w:p w:rsidR="00386013" w:rsidRPr="00386013" w:rsidRDefault="00386013" w:rsidP="00386013">
      <w:pPr>
        <w:numPr>
          <w:ilvl w:val="0"/>
          <w:numId w:val="4"/>
        </w:numPr>
        <w:spacing w:before="100" w:beforeAutospacing="1" w:after="0"/>
        <w:rPr>
          <w:rFonts w:ascii="Times New Roman" w:eastAsia="Times New Roman" w:hAnsi="Times New Roman" w:cs="Times New Roman"/>
          <w:b w:val="0"/>
          <w:color w:val="874295" w:themeColor="accent2" w:themeShade="BF"/>
          <w:sz w:val="24"/>
          <w:szCs w:val="24"/>
          <w:lang w:val="en" w:eastAsia="sk-SK"/>
        </w:rPr>
      </w:pPr>
      <w:r w:rsidRPr="00386013">
        <w:rPr>
          <w:rFonts w:eastAsia="Times New Roman" w:cs="Times New Roman"/>
          <w:b w:val="0"/>
          <w:color w:val="874295" w:themeColor="accent2" w:themeShade="BF"/>
          <w:sz w:val="20"/>
          <w:lang w:val="en" w:eastAsia="sk-SK"/>
        </w:rPr>
        <w:t>podriadený dlh (úver)</w:t>
      </w:r>
    </w:p>
    <w:p w:rsidR="00386013" w:rsidRPr="00386013" w:rsidRDefault="00386013" w:rsidP="00386013">
      <w:pPr>
        <w:numPr>
          <w:ilvl w:val="0"/>
          <w:numId w:val="4"/>
        </w:numPr>
        <w:spacing w:before="100" w:beforeAutospacing="1" w:after="0"/>
        <w:rPr>
          <w:rFonts w:ascii="Times New Roman" w:eastAsia="Times New Roman" w:hAnsi="Times New Roman" w:cs="Times New Roman"/>
          <w:b w:val="0"/>
          <w:color w:val="874295" w:themeColor="accent2" w:themeShade="BF"/>
          <w:sz w:val="24"/>
          <w:szCs w:val="24"/>
          <w:lang w:val="en" w:eastAsia="sk-SK"/>
        </w:rPr>
      </w:pPr>
      <w:r w:rsidRPr="00386013">
        <w:rPr>
          <w:rFonts w:eastAsia="Times New Roman" w:cs="Times New Roman"/>
          <w:b w:val="0"/>
          <w:color w:val="874295" w:themeColor="accent2" w:themeShade="BF"/>
          <w:sz w:val="20"/>
          <w:lang w:val="en" w:eastAsia="sk-SK"/>
        </w:rPr>
        <w:t>dlžobné listy</w:t>
      </w:r>
    </w:p>
    <w:p w:rsidR="00386013" w:rsidRPr="00386013" w:rsidRDefault="00386013" w:rsidP="00386013">
      <w:pPr>
        <w:numPr>
          <w:ilvl w:val="0"/>
          <w:numId w:val="4"/>
        </w:numPr>
        <w:spacing w:before="100" w:beforeAutospacing="1" w:after="0"/>
        <w:rPr>
          <w:rFonts w:ascii="Times New Roman" w:eastAsia="Times New Roman" w:hAnsi="Times New Roman" w:cs="Times New Roman"/>
          <w:b w:val="0"/>
          <w:color w:val="874295" w:themeColor="accent2" w:themeShade="BF"/>
          <w:sz w:val="24"/>
          <w:szCs w:val="24"/>
          <w:lang w:val="en" w:eastAsia="sk-SK"/>
        </w:rPr>
      </w:pPr>
      <w:r w:rsidRPr="00386013">
        <w:rPr>
          <w:rFonts w:eastAsia="Times New Roman" w:cs="Times New Roman"/>
          <w:b w:val="0"/>
          <w:color w:val="874295" w:themeColor="accent2" w:themeShade="BF"/>
          <w:sz w:val="20"/>
          <w:lang w:val="en" w:eastAsia="sk-SK"/>
        </w:rPr>
        <w:t>dividendy</w:t>
      </w:r>
    </w:p>
    <w:p w:rsidR="00386013" w:rsidRPr="00386013" w:rsidRDefault="00386013" w:rsidP="00386013">
      <w:pPr>
        <w:numPr>
          <w:ilvl w:val="0"/>
          <w:numId w:val="4"/>
        </w:numPr>
        <w:spacing w:before="100" w:beforeAutospacing="1" w:after="0"/>
        <w:rPr>
          <w:rFonts w:ascii="Times New Roman" w:eastAsia="Times New Roman" w:hAnsi="Times New Roman" w:cs="Times New Roman"/>
          <w:b w:val="0"/>
          <w:color w:val="874295" w:themeColor="accent2" w:themeShade="BF"/>
          <w:sz w:val="24"/>
          <w:szCs w:val="24"/>
          <w:lang w:val="en" w:eastAsia="sk-SK"/>
        </w:rPr>
      </w:pPr>
      <w:r w:rsidRPr="00386013">
        <w:rPr>
          <w:rFonts w:eastAsia="Times New Roman" w:cs="Times New Roman"/>
          <w:b w:val="0"/>
          <w:color w:val="874295" w:themeColor="accent2" w:themeShade="BF"/>
          <w:sz w:val="20"/>
          <w:lang w:val="en" w:eastAsia="sk-SK"/>
        </w:rPr>
        <w:t>speňažiteľné akcie (zaknihované alebo nezaknihované)</w:t>
      </w:r>
    </w:p>
    <w:p w:rsidR="00386013" w:rsidRPr="00386013" w:rsidRDefault="00386013" w:rsidP="00386013">
      <w:pPr>
        <w:numPr>
          <w:ilvl w:val="0"/>
          <w:numId w:val="4"/>
        </w:numPr>
        <w:spacing w:before="100" w:beforeAutospacing="1" w:after="0"/>
        <w:rPr>
          <w:rFonts w:ascii="Times New Roman" w:eastAsia="Times New Roman" w:hAnsi="Times New Roman" w:cs="Times New Roman"/>
          <w:b w:val="0"/>
          <w:color w:val="874295" w:themeColor="accent2" w:themeShade="BF"/>
          <w:sz w:val="24"/>
          <w:szCs w:val="24"/>
          <w:lang w:val="en" w:eastAsia="sk-SK"/>
        </w:rPr>
      </w:pPr>
      <w:r w:rsidRPr="00386013">
        <w:rPr>
          <w:rFonts w:eastAsia="Times New Roman" w:cs="Times New Roman"/>
          <w:b w:val="0"/>
          <w:color w:val="874295" w:themeColor="accent2" w:themeShade="BF"/>
          <w:sz w:val="20"/>
          <w:lang w:val="en" w:eastAsia="sk-SK"/>
        </w:rPr>
        <w:t>prevzatie emisie cenných papierov súkromnej alebo verejnej spoločnosti</w:t>
      </w:r>
    </w:p>
    <w:p w:rsidR="00386013" w:rsidRPr="00386013" w:rsidRDefault="00386013" w:rsidP="00386013">
      <w:pPr>
        <w:numPr>
          <w:ilvl w:val="0"/>
          <w:numId w:val="4"/>
        </w:numPr>
        <w:spacing w:before="100" w:beforeAutospacing="1" w:after="0"/>
        <w:rPr>
          <w:rFonts w:ascii="Times New Roman" w:eastAsia="Times New Roman" w:hAnsi="Times New Roman" w:cs="Times New Roman"/>
          <w:b w:val="0"/>
          <w:color w:val="874295" w:themeColor="accent2" w:themeShade="BF"/>
          <w:sz w:val="24"/>
          <w:szCs w:val="24"/>
          <w:lang w:val="en" w:eastAsia="sk-SK"/>
        </w:rPr>
      </w:pPr>
      <w:r w:rsidRPr="00386013">
        <w:rPr>
          <w:rFonts w:eastAsia="Times New Roman" w:cs="Times New Roman"/>
          <w:b w:val="0"/>
          <w:color w:val="874295" w:themeColor="accent2" w:themeShade="BF"/>
          <w:sz w:val="20"/>
          <w:lang w:val="en" w:eastAsia="sk-SK"/>
        </w:rPr>
        <w:t>iné</w:t>
      </w:r>
    </w:p>
    <w:p w:rsidR="00386013" w:rsidRPr="00386013" w:rsidRDefault="00386013" w:rsidP="00386013">
      <w:pPr>
        <w:spacing w:before="100" w:beforeAutospacing="1" w:after="0"/>
        <w:rPr>
          <w:rFonts w:ascii="Times New Roman" w:eastAsia="Times New Roman" w:hAnsi="Times New Roman" w:cs="Times New Roman"/>
          <w:b w:val="0"/>
          <w:color w:val="874295" w:themeColor="accent2" w:themeShade="BF"/>
          <w:sz w:val="24"/>
          <w:szCs w:val="24"/>
          <w:lang w:val="en" w:eastAsia="sk-SK"/>
        </w:rPr>
      </w:pPr>
      <w:r w:rsidRPr="00386013">
        <w:rPr>
          <w:rFonts w:eastAsia="Times New Roman" w:cs="Times New Roman"/>
          <w:bCs/>
          <w:color w:val="874295" w:themeColor="accent2" w:themeShade="BF"/>
          <w:sz w:val="20"/>
          <w:lang w:val="en" w:eastAsia="sk-SK"/>
        </w:rPr>
        <w:t>EBOR tiež investuje do niektorých fondov, ktoré zase investujú v niektorých regiónoch do MSP.</w:t>
      </w:r>
    </w:p>
    <w:p w:rsidR="0095065F" w:rsidRPr="007B3C9B" w:rsidRDefault="0095065F" w:rsidP="007024DB">
      <w:pPr>
        <w:spacing w:before="0" w:after="0"/>
        <w:jc w:val="both"/>
        <w:rPr>
          <w:color w:val="874295" w:themeColor="accent2" w:themeShade="BF"/>
          <w:sz w:val="20"/>
        </w:rPr>
      </w:pPr>
    </w:p>
    <w:p w:rsidR="00386013" w:rsidRPr="007B3C9B" w:rsidRDefault="00386013" w:rsidP="007024DB">
      <w:pPr>
        <w:spacing w:before="0" w:after="0"/>
        <w:jc w:val="both"/>
        <w:rPr>
          <w:color w:val="874295" w:themeColor="accent2" w:themeShade="BF"/>
          <w:sz w:val="20"/>
        </w:rPr>
      </w:pPr>
      <w:r w:rsidRPr="007B3C9B">
        <w:rPr>
          <w:bCs/>
          <w:color w:val="874295" w:themeColor="accent2" w:themeShade="BF"/>
          <w:sz w:val="20"/>
        </w:rPr>
        <w:t xml:space="preserve">Komerčnú verziu, ktorá obsahuje na viac dôležité informácie o podmienkach, systéme platieb, harmonograme rozhodovania, systéme fungovania fondu a tiež preklad najdôležitejších častí príručky pre žiadateľa si môžete zakúpiť v našom e-obchode: </w:t>
      </w:r>
      <w:hyperlink r:id="rId10" w:history="1">
        <w:r w:rsidR="007B3C9B" w:rsidRPr="007B3C9B">
          <w:rPr>
            <w:rStyle w:val="Hypertextovprepojenie"/>
            <w:bCs/>
            <w:color w:val="874295" w:themeColor="accent2" w:themeShade="BF"/>
            <w:sz w:val="20"/>
          </w:rPr>
          <w:t>http://www.mediacoeli.sk/index.php?detailshop=1&amp;cislo=24&amp;img=&amp;randcolor=1</w:t>
        </w:r>
      </w:hyperlink>
      <w:r w:rsidR="007B3C9B" w:rsidRPr="007B3C9B">
        <w:rPr>
          <w:bCs/>
          <w:color w:val="874295" w:themeColor="accent2" w:themeShade="BF"/>
          <w:sz w:val="20"/>
        </w:rPr>
        <w:t xml:space="preserve"> </w:t>
      </w:r>
    </w:p>
    <w:p w:rsidR="00535445" w:rsidRPr="007B3C9B" w:rsidRDefault="00535445" w:rsidP="007024DB">
      <w:pPr>
        <w:spacing w:before="0" w:after="0"/>
        <w:jc w:val="both"/>
        <w:rPr>
          <w:b w:val="0"/>
          <w:color w:val="874295" w:themeColor="accent2" w:themeShade="BF"/>
          <w:sz w:val="20"/>
        </w:rPr>
      </w:pPr>
    </w:p>
    <w:p w:rsidR="00150353" w:rsidRPr="007B3C9B" w:rsidRDefault="00E169A8" w:rsidP="007024DB">
      <w:pPr>
        <w:spacing w:before="0" w:after="0" w:line="276" w:lineRule="auto"/>
        <w:jc w:val="both"/>
        <w:rPr>
          <w:rStyle w:val="Hypertextovprepojenie"/>
          <w:color w:val="874295" w:themeColor="accent2" w:themeShade="BF"/>
          <w:sz w:val="16"/>
          <w:szCs w:val="16"/>
        </w:rPr>
      </w:pPr>
      <w:r w:rsidRPr="007B3C9B">
        <w:rPr>
          <w:color w:val="874295" w:themeColor="accent2" w:themeShade="BF"/>
          <w:sz w:val="16"/>
          <w:szCs w:val="16"/>
        </w:rPr>
        <w:t xml:space="preserve">verejne sprístupnené dielo MEDIA COELI </w:t>
      </w:r>
      <w:r w:rsidRPr="007B3C9B">
        <w:rPr>
          <w:color w:val="874295" w:themeColor="accent2" w:themeShade="BF"/>
          <w:sz w:val="16"/>
          <w:szCs w:val="16"/>
          <w:vertAlign w:val="superscript"/>
        </w:rPr>
        <w:t>®</w:t>
      </w:r>
      <w:r w:rsidRPr="007B3C9B">
        <w:rPr>
          <w:color w:val="874295" w:themeColor="accent2" w:themeShade="BF"/>
          <w:sz w:val="16"/>
          <w:szCs w:val="16"/>
        </w:rPr>
        <w:t xml:space="preserve"> podmienky: </w:t>
      </w:r>
      <w:hyperlink r:id="rId11" w:history="1">
        <w:r w:rsidR="00AE59CA" w:rsidRPr="007B3C9B">
          <w:rPr>
            <w:rStyle w:val="Hypertextovprepojenie"/>
            <w:color w:val="874295" w:themeColor="accent2" w:themeShade="BF"/>
            <w:sz w:val="16"/>
            <w:szCs w:val="16"/>
          </w:rPr>
          <w:t>www.mediacoeli.sk</w:t>
        </w:r>
      </w:hyperlink>
    </w:p>
    <w:p w:rsidR="001F4AB6" w:rsidRPr="007B3C9B" w:rsidRDefault="001F4AB6" w:rsidP="007024DB">
      <w:pPr>
        <w:spacing w:before="0" w:after="0" w:line="276" w:lineRule="auto"/>
        <w:jc w:val="both"/>
        <w:rPr>
          <w:color w:val="874295" w:themeColor="accent2" w:themeShade="BF"/>
          <w:sz w:val="16"/>
          <w:szCs w:val="16"/>
        </w:rPr>
      </w:pPr>
    </w:p>
    <w:sdt>
      <w:sdtPr>
        <w:rPr>
          <w:color w:val="874295" w:themeColor="accent2" w:themeShade="BF"/>
          <w:sz w:val="16"/>
          <w:szCs w:val="16"/>
        </w:rPr>
        <w:id w:val="1950342598"/>
        <w:placeholder>
          <w:docPart w:val="DefaultPlaceholder_1082065158"/>
        </w:placeholder>
      </w:sdtPr>
      <w:sdtEndPr>
        <w:rPr>
          <w:color w:val="874295" w:themeColor="accent2" w:themeShade="BF"/>
        </w:rPr>
      </w:sdtEndPr>
      <w:sdtContent>
        <w:bookmarkStart w:id="0" w:name="_GoBack" w:displacedByCustomXml="prev"/>
        <w:p w:rsidR="000F69FA" w:rsidRPr="007B3C9B" w:rsidRDefault="000F69FA" w:rsidP="007024DB">
          <w:pPr>
            <w:spacing w:before="0" w:after="0" w:line="276" w:lineRule="auto"/>
            <w:jc w:val="both"/>
            <w:rPr>
              <w:color w:val="874295" w:themeColor="accent2" w:themeShade="BF"/>
              <w:sz w:val="16"/>
              <w:szCs w:val="16"/>
            </w:rPr>
          </w:pPr>
          <w:r w:rsidRPr="007B3C9B">
            <w:rPr>
              <w:color w:val="874295" w:themeColor="accent2" w:themeShade="BF"/>
              <w:sz w:val="16"/>
              <w:szCs w:val="16"/>
            </w:rPr>
            <w:t xml:space="preserve">Váš konzultant: </w:t>
          </w:r>
        </w:p>
        <w:p w:rsidR="00495077" w:rsidRPr="007B3C9B" w:rsidRDefault="00495077" w:rsidP="007024DB">
          <w:pPr>
            <w:spacing w:before="0" w:after="0" w:line="276" w:lineRule="auto"/>
            <w:jc w:val="both"/>
            <w:rPr>
              <w:color w:val="874295" w:themeColor="accent2" w:themeShade="BF"/>
              <w:sz w:val="16"/>
              <w:szCs w:val="16"/>
            </w:rPr>
          </w:pPr>
        </w:p>
        <w:p w:rsidR="00093E63" w:rsidRPr="007B3C9B" w:rsidRDefault="00093E63" w:rsidP="007024DB">
          <w:pPr>
            <w:spacing w:before="0" w:after="0" w:line="276" w:lineRule="auto"/>
            <w:jc w:val="both"/>
            <w:rPr>
              <w:color w:val="874295" w:themeColor="accent2" w:themeShade="BF"/>
              <w:sz w:val="16"/>
              <w:szCs w:val="16"/>
            </w:rPr>
          </w:pPr>
        </w:p>
        <w:p w:rsidR="000F69FA" w:rsidRPr="007B3C9B" w:rsidRDefault="004445E7" w:rsidP="007024DB">
          <w:pPr>
            <w:spacing w:before="0" w:after="0" w:line="276" w:lineRule="auto"/>
            <w:jc w:val="both"/>
            <w:rPr>
              <w:b w:val="0"/>
              <w:color w:val="874295" w:themeColor="accent2" w:themeShade="BF"/>
              <w:sz w:val="16"/>
              <w:szCs w:val="16"/>
            </w:rPr>
          </w:pPr>
        </w:p>
        <w:bookmarkEnd w:id="0" w:displacedByCustomXml="next"/>
      </w:sdtContent>
    </w:sdt>
    <w:sectPr w:rsidR="000F69FA" w:rsidRPr="007B3C9B" w:rsidSect="006203D3">
      <w:headerReference w:type="default" r:id="rId12"/>
      <w:footerReference w:type="default" r:id="rId13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5E7" w:rsidRDefault="004445E7" w:rsidP="00F4420D">
      <w:pPr>
        <w:spacing w:after="0"/>
      </w:pPr>
      <w:r>
        <w:separator/>
      </w:r>
    </w:p>
  </w:endnote>
  <w:endnote w:type="continuationSeparator" w:id="0">
    <w:p w:rsidR="004445E7" w:rsidRDefault="004445E7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4445E7" w:rsidRPr="004445E7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4445E7" w:rsidRPr="004445E7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CF3C51" w:rsidRDefault="00CF3C51" w:rsidP="009A5A3B">
    <w:pPr>
      <w:pStyle w:val="Pta"/>
      <w:rPr>
        <w:b w:val="0"/>
        <w:color w:val="A6A6A6" w:themeColor="background1" w:themeShade="A6"/>
        <w:sz w:val="16"/>
        <w:szCs w:val="16"/>
      </w:rPr>
    </w:pP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5E7" w:rsidRDefault="004445E7" w:rsidP="00F4420D">
      <w:pPr>
        <w:spacing w:after="0"/>
      </w:pPr>
      <w:r>
        <w:separator/>
      </w:r>
    </w:p>
  </w:footnote>
  <w:footnote w:type="continuationSeparator" w:id="0">
    <w:p w:rsidR="004445E7" w:rsidRDefault="004445E7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195" w:rsidRPr="00914195" w:rsidRDefault="00914195" w:rsidP="00914195">
    <w:pPr>
      <w:spacing w:before="0" w:after="0" w:line="276" w:lineRule="auto"/>
      <w:ind w:left="708" w:firstLine="708"/>
      <w:jc w:val="right"/>
      <w:rPr>
        <w:color w:val="A6A6A6" w:themeColor="background1" w:themeShade="A6"/>
        <w:sz w:val="16"/>
        <w:szCs w:val="16"/>
      </w:rPr>
    </w:pPr>
    <w:r w:rsidRPr="00914195">
      <w:rPr>
        <w:bCs/>
        <w:color w:val="A6A6A6" w:themeColor="background1" w:themeShade="A6"/>
        <w:sz w:val="16"/>
        <w:szCs w:val="16"/>
        <w:lang w:val="en"/>
      </w:rPr>
      <w:t>Európska banka pre obnovu a rozvoj (EBOR) – voľná verzia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25408855" wp14:editId="37BAF760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B6EF5"/>
    <w:multiLevelType w:val="multilevel"/>
    <w:tmpl w:val="F0800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014F70"/>
    <w:multiLevelType w:val="multilevel"/>
    <w:tmpl w:val="60341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2B140E9"/>
    <w:multiLevelType w:val="hybridMultilevel"/>
    <w:tmpl w:val="862E1A16"/>
    <w:lvl w:ilvl="0" w:tplc="3982B99E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98D7A7B"/>
    <w:multiLevelType w:val="multilevel"/>
    <w:tmpl w:val="23783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RCYpTgONRZEvrwt3YsLSoHg1OxQ=" w:salt="SpgIEcaQ2qKbXX+G4fwlLA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54332"/>
    <w:rsid w:val="00056D9E"/>
    <w:rsid w:val="000770D1"/>
    <w:rsid w:val="000928EF"/>
    <w:rsid w:val="00093E63"/>
    <w:rsid w:val="000F69FA"/>
    <w:rsid w:val="00116E14"/>
    <w:rsid w:val="00135392"/>
    <w:rsid w:val="00150353"/>
    <w:rsid w:val="00157167"/>
    <w:rsid w:val="00164B21"/>
    <w:rsid w:val="00171F91"/>
    <w:rsid w:val="0018154F"/>
    <w:rsid w:val="001932A8"/>
    <w:rsid w:val="001F4AB6"/>
    <w:rsid w:val="0020227D"/>
    <w:rsid w:val="00241D19"/>
    <w:rsid w:val="0028147B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86013"/>
    <w:rsid w:val="003A4705"/>
    <w:rsid w:val="004445E7"/>
    <w:rsid w:val="00460A9F"/>
    <w:rsid w:val="0047619C"/>
    <w:rsid w:val="00495077"/>
    <w:rsid w:val="004B073A"/>
    <w:rsid w:val="004B5637"/>
    <w:rsid w:val="004D5EC9"/>
    <w:rsid w:val="004E3C47"/>
    <w:rsid w:val="00504833"/>
    <w:rsid w:val="0052339A"/>
    <w:rsid w:val="00535445"/>
    <w:rsid w:val="00536A81"/>
    <w:rsid w:val="00542CC6"/>
    <w:rsid w:val="005925B6"/>
    <w:rsid w:val="005A643E"/>
    <w:rsid w:val="005F0051"/>
    <w:rsid w:val="00602EF9"/>
    <w:rsid w:val="006203D3"/>
    <w:rsid w:val="00645C24"/>
    <w:rsid w:val="00673F90"/>
    <w:rsid w:val="00681C33"/>
    <w:rsid w:val="006A0E3C"/>
    <w:rsid w:val="006B6987"/>
    <w:rsid w:val="007024DB"/>
    <w:rsid w:val="0072638E"/>
    <w:rsid w:val="00736B3E"/>
    <w:rsid w:val="007617E7"/>
    <w:rsid w:val="00787A94"/>
    <w:rsid w:val="007B3C9B"/>
    <w:rsid w:val="007C3213"/>
    <w:rsid w:val="00804257"/>
    <w:rsid w:val="00854341"/>
    <w:rsid w:val="00894C03"/>
    <w:rsid w:val="008B031E"/>
    <w:rsid w:val="008B6A15"/>
    <w:rsid w:val="008D6AAF"/>
    <w:rsid w:val="008E1621"/>
    <w:rsid w:val="0090074C"/>
    <w:rsid w:val="00903B51"/>
    <w:rsid w:val="00914195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A157B4"/>
    <w:rsid w:val="00A36AFE"/>
    <w:rsid w:val="00AA5082"/>
    <w:rsid w:val="00AE59CA"/>
    <w:rsid w:val="00B01207"/>
    <w:rsid w:val="00B36300"/>
    <w:rsid w:val="00B43241"/>
    <w:rsid w:val="00BE4284"/>
    <w:rsid w:val="00BF6324"/>
    <w:rsid w:val="00BF7C27"/>
    <w:rsid w:val="00C84B9F"/>
    <w:rsid w:val="00C869DB"/>
    <w:rsid w:val="00CA4707"/>
    <w:rsid w:val="00CD484A"/>
    <w:rsid w:val="00CF3C51"/>
    <w:rsid w:val="00D0790B"/>
    <w:rsid w:val="00D10615"/>
    <w:rsid w:val="00D51B96"/>
    <w:rsid w:val="00D80350"/>
    <w:rsid w:val="00DB0B54"/>
    <w:rsid w:val="00E169A8"/>
    <w:rsid w:val="00E268DD"/>
    <w:rsid w:val="00E26E26"/>
    <w:rsid w:val="00E8111B"/>
    <w:rsid w:val="00EA59F7"/>
    <w:rsid w:val="00EC3558"/>
    <w:rsid w:val="00ED751C"/>
    <w:rsid w:val="00F04A00"/>
    <w:rsid w:val="00F10D78"/>
    <w:rsid w:val="00F4420D"/>
    <w:rsid w:val="00F9216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mediacoeli.sk/detail-29-mediacoeli_Licen&#269;n&#225;_dohoda_na_verejne_spr&#237;stupnen&#233;_diela_MEDIA_COELI_&#174;.html" TargetMode="External"/><Relationship Id="rId5" Type="http://schemas.microsoft.com/office/2007/relationships/stylesWithEffects" Target="stylesWithEffects.xml"/><Relationship Id="rId15" Type="http://schemas.openxmlformats.org/officeDocument/2006/relationships/glossaryDocument" Target="glossary/document.xml"/><Relationship Id="rId10" Type="http://schemas.openxmlformats.org/officeDocument/2006/relationships/hyperlink" Target="http://www.mediacoeli.sk/index.php?detailshop=1&amp;cislo=24&amp;img=&amp;randcolor=1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3E4284"/>
    <w:rsid w:val="005C3B51"/>
    <w:rsid w:val="00670F02"/>
    <w:rsid w:val="00677726"/>
    <w:rsid w:val="00717489"/>
    <w:rsid w:val="007263B1"/>
    <w:rsid w:val="0073796B"/>
    <w:rsid w:val="0086398C"/>
    <w:rsid w:val="00A3700D"/>
    <w:rsid w:val="00D91FD6"/>
    <w:rsid w:val="00DE406D"/>
    <w:rsid w:val="00E43644"/>
    <w:rsid w:val="00E52C02"/>
    <w:rsid w:val="00EC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ACE29DE-5030-470C-A2CE-29E347FD0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Európska banka pre obnovu a rozvoj (EBOR) – voľná verzia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2291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Európska banka pre obnovu a rozvoj (EBOR) – voľná verzia</dc:title>
  <dc:creator>Milena Mrvová;MEDIA COELI ®</dc:creator>
  <cp:lastModifiedBy>Milena Mrvová</cp:lastModifiedBy>
  <cp:revision>6</cp:revision>
  <cp:lastPrinted>2013-06-16T17:02:00Z</cp:lastPrinted>
  <dcterms:created xsi:type="dcterms:W3CDTF">2013-06-16T16:55:00Z</dcterms:created>
  <dcterms:modified xsi:type="dcterms:W3CDTF">2013-06-16T17:07:00Z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