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31C" w:rsidRDefault="00D4631C" w:rsidP="00013B8B">
      <w:pPr>
        <w:spacing w:before="100" w:beforeAutospacing="1" w:after="0"/>
        <w:rPr>
          <w:color w:val="0033CC"/>
          <w:sz w:val="20"/>
        </w:rPr>
      </w:pPr>
    </w:p>
    <w:p w:rsidR="00BD1B03" w:rsidRDefault="00BD1B03" w:rsidP="00D4631C">
      <w:pPr>
        <w:spacing w:before="100" w:beforeAutospacing="1" w:after="0"/>
        <w:rPr>
          <w:rFonts w:eastAsia="Times New Roman" w:cs="Times New Roman"/>
          <w:bCs/>
          <w:color w:val="0033CC"/>
          <w:sz w:val="20"/>
          <w:lang w:eastAsia="sk-SK"/>
        </w:rPr>
      </w:pPr>
      <w:r w:rsidRPr="00C078E1">
        <w:rPr>
          <w:rFonts w:eastAsia="Times New Roman" w:cs="Times New Roman"/>
          <w:bCs/>
          <w:color w:val="0033CC"/>
          <w:sz w:val="20"/>
          <w:lang w:eastAsia="sk-SK"/>
        </w:rPr>
        <w:t>Program hospodárskeho a sociálneho rozvoja (PHSR)</w:t>
      </w:r>
    </w:p>
    <w:p w:rsidR="00D4631C" w:rsidRPr="00D4631C" w:rsidRDefault="00D4631C" w:rsidP="00D4631C">
      <w:pPr>
        <w:spacing w:before="100" w:beforeAutospacing="1" w:after="0"/>
        <w:rPr>
          <w:rFonts w:eastAsia="Times New Roman" w:cs="Times New Roman"/>
          <w:bCs/>
          <w:color w:val="0033CC"/>
          <w:sz w:val="20"/>
          <w:lang w:eastAsia="sk-SK"/>
        </w:rPr>
      </w:pPr>
    </w:p>
    <w:p w:rsidR="00210230" w:rsidRPr="00C078E1" w:rsidRDefault="00BD1B03" w:rsidP="00BD1B03">
      <w:pPr>
        <w:spacing w:before="0" w:after="0"/>
        <w:jc w:val="both"/>
        <w:rPr>
          <w:rFonts w:eastAsia="Times New Roman" w:cs="Times New Roman"/>
          <w:color w:val="0033CC"/>
          <w:sz w:val="20"/>
          <w:lang w:eastAsia="sk-SK"/>
        </w:rPr>
      </w:pPr>
      <w:r w:rsidRPr="00C078E1">
        <w:rPr>
          <w:rFonts w:eastAsia="Times New Roman" w:cs="Times New Roman"/>
          <w:color w:val="0033CC"/>
          <w:sz w:val="20"/>
          <w:lang w:eastAsia="sk-SK"/>
        </w:rPr>
        <w:t xml:space="preserve">PHSR je programový dokument na obdobie 5-10 rokov, ktorý je zo zákona o podpore regionálneho rozvoja č. 539/2008 Z. z. a súvisiacich metodických pokynov povinná </w:t>
      </w:r>
      <w:r w:rsidRPr="00C078E1">
        <w:rPr>
          <w:rFonts w:eastAsia="Times New Roman" w:cs="Times New Roman"/>
          <w:bCs/>
          <w:color w:val="0033CC"/>
          <w:sz w:val="20"/>
          <w:lang w:eastAsia="sk-SK"/>
        </w:rPr>
        <w:t>vypracovať</w:t>
      </w:r>
      <w:r w:rsidRPr="00C078E1">
        <w:rPr>
          <w:rFonts w:eastAsia="Times New Roman" w:cs="Times New Roman"/>
          <w:color w:val="0033CC"/>
          <w:sz w:val="20"/>
          <w:lang w:eastAsia="sk-SK"/>
        </w:rPr>
        <w:t xml:space="preserve"> každá obec, mesto a vyšší územný celok. </w:t>
      </w:r>
    </w:p>
    <w:p w:rsidR="00210230" w:rsidRPr="00C078E1" w:rsidRDefault="00210230" w:rsidP="00BD1B03">
      <w:pPr>
        <w:spacing w:before="0" w:after="0"/>
        <w:jc w:val="both"/>
        <w:rPr>
          <w:rFonts w:eastAsia="Times New Roman" w:cs="Times New Roman"/>
          <w:color w:val="0033CC"/>
          <w:sz w:val="20"/>
          <w:lang w:eastAsia="sk-SK"/>
        </w:rPr>
      </w:pPr>
    </w:p>
    <w:p w:rsidR="00210230" w:rsidRPr="00C078E1" w:rsidRDefault="00210230" w:rsidP="00BD1B03">
      <w:pPr>
        <w:spacing w:before="0" w:after="0"/>
        <w:jc w:val="both"/>
        <w:rPr>
          <w:rFonts w:eastAsia="Times New Roman" w:cs="Times New Roman"/>
          <w:color w:val="0033CC"/>
          <w:sz w:val="20"/>
          <w:lang w:eastAsia="sk-SK"/>
        </w:rPr>
      </w:pP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color w:val="0033CC"/>
          <w:sz w:val="20"/>
          <w:lang w:eastAsia="sk-SK"/>
        </w:rPr>
      </w:pPr>
      <w:r w:rsidRPr="00C078E1">
        <w:rPr>
          <w:rFonts w:eastAsia="Times New Roman" w:cs="Times New Roman"/>
          <w:bCs/>
          <w:color w:val="0033CC"/>
          <w:sz w:val="20"/>
          <w:lang w:eastAsia="sk-SK"/>
        </w:rPr>
        <w:t>Hlavnými cieľmi PHSR</w:t>
      </w:r>
      <w:r w:rsidRPr="00C078E1">
        <w:rPr>
          <w:rFonts w:eastAsia="Times New Roman" w:cs="Times New Roman"/>
          <w:color w:val="0033CC"/>
          <w:sz w:val="20"/>
          <w:lang w:eastAsia="sk-SK"/>
        </w:rPr>
        <w:t xml:space="preserve"> sú:</w:t>
      </w:r>
    </w:p>
    <w:p w:rsidR="0014481B" w:rsidRPr="00C078E1" w:rsidRDefault="0014481B" w:rsidP="00BD1B03">
      <w:pPr>
        <w:spacing w:before="0" w:after="0"/>
        <w:jc w:val="both"/>
        <w:rPr>
          <w:rFonts w:eastAsia="Times New Roman" w:cs="Times New Roman"/>
          <w:color w:val="0033CC"/>
          <w:sz w:val="20"/>
          <w:lang w:eastAsia="sk-SK"/>
        </w:rPr>
      </w:pPr>
    </w:p>
    <w:p w:rsidR="00BD1B03" w:rsidRPr="00C078E1" w:rsidRDefault="002125F1" w:rsidP="002125F1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- </w:t>
      </w:r>
      <w:r w:rsidR="00BD1B03" w:rsidRPr="00C078E1">
        <w:rPr>
          <w:rFonts w:eastAsia="Times New Roman" w:cs="Times New Roman"/>
          <w:b w:val="0"/>
          <w:color w:val="0033CC"/>
          <w:sz w:val="20"/>
          <w:lang w:eastAsia="sk-SK"/>
        </w:rPr>
        <w:t>analyzovať hospodársky a sociálny rozvoj obce, hlavné smery jej vývoja a stanoviť ciele a prvoradé potreby</w:t>
      </w:r>
    </w:p>
    <w:p w:rsidR="00BD1B03" w:rsidRPr="00C078E1" w:rsidRDefault="002125F1" w:rsidP="002125F1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- </w:t>
      </w:r>
      <w:r w:rsidR="00BD1B03" w:rsidRPr="00C078E1">
        <w:rPr>
          <w:rFonts w:eastAsia="Times New Roman" w:cs="Times New Roman"/>
          <w:b w:val="0"/>
          <w:color w:val="0033CC"/>
          <w:sz w:val="20"/>
          <w:lang w:eastAsia="sk-SK"/>
        </w:rPr>
        <w:t>určiť úlohy a prvoradé potreby v rozvoji technickej infraštruktúry, sociálnej infraštruktúry, v starostlivosti o životné prostredie, vo vzdelávaní, v kultúre a v ďalších oblastiach podpory regionálneho rozvoja</w:t>
      </w:r>
    </w:p>
    <w:p w:rsidR="00BD1B03" w:rsidRPr="00C078E1" w:rsidRDefault="002125F1" w:rsidP="002125F1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- </w:t>
      </w:r>
      <w:r w:rsidR="00BD1B03" w:rsidRPr="00C078E1">
        <w:rPr>
          <w:rFonts w:eastAsia="Times New Roman" w:cs="Times New Roman"/>
          <w:b w:val="0"/>
          <w:color w:val="0033CC"/>
          <w:sz w:val="20"/>
          <w:lang w:eastAsia="sk-SK"/>
        </w:rPr>
        <w:t>navrhnúť finančné a administratívne zabezpečenie cieľov obce</w:t>
      </w:r>
    </w:p>
    <w:p w:rsidR="00BD1B03" w:rsidRPr="00C078E1" w:rsidRDefault="002125F1" w:rsidP="002125F1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- </w:t>
      </w:r>
      <w:r w:rsidR="00BD1B03" w:rsidRPr="00C078E1">
        <w:rPr>
          <w:rFonts w:eastAsia="Times New Roman" w:cs="Times New Roman"/>
          <w:b w:val="0"/>
          <w:color w:val="0033CC"/>
          <w:sz w:val="20"/>
          <w:lang w:eastAsia="sk-SK"/>
        </w:rPr>
        <w:t>sformulovať stratégiu smerovania daného územia, ktorá vyjadruje ekonomické a sociálne záujmy občanov (širokej verejnosti) a zároveň je v súlade s vyššími koncepciami štátu, VÚC, príslušného mikroregiónu, rezortnými stratégiami, záujmami ochrany životného prostredia, kultúrneho dedičstva a pod.</w:t>
      </w:r>
    </w:p>
    <w:p w:rsidR="00BD1B03" w:rsidRPr="00C078E1" w:rsidRDefault="002125F1" w:rsidP="002125F1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- </w:t>
      </w:r>
      <w:r w:rsidR="00BD1B03" w:rsidRPr="00C078E1">
        <w:rPr>
          <w:rFonts w:eastAsia="Times New Roman" w:cs="Times New Roman"/>
          <w:b w:val="0"/>
          <w:color w:val="0033CC"/>
          <w:sz w:val="20"/>
          <w:lang w:eastAsia="sk-SK"/>
        </w:rPr>
        <w:t>zabezpečiť kontinuitu rozvoja obce bez ohľadu na momentálne personálne obsadenie vo vedení obce</w:t>
      </w:r>
    </w:p>
    <w:p w:rsidR="00BD1B03" w:rsidRPr="00C078E1" w:rsidRDefault="002125F1" w:rsidP="002125F1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- </w:t>
      </w:r>
      <w:r w:rsidR="00BD1B03" w:rsidRPr="00C078E1">
        <w:rPr>
          <w:rFonts w:eastAsia="Times New Roman" w:cs="Times New Roman"/>
          <w:b w:val="0"/>
          <w:color w:val="0033CC"/>
          <w:sz w:val="20"/>
          <w:lang w:eastAsia="sk-SK"/>
        </w:rPr>
        <w:t>určiť možnosti využitia dotácií na financovanie zámerov obce (</w:t>
      </w:r>
      <w:r w:rsidR="00BD1B03" w:rsidRPr="00C078E1">
        <w:rPr>
          <w:rFonts w:eastAsia="Times New Roman" w:cs="Times New Roman"/>
          <w:bCs/>
          <w:color w:val="0033CC"/>
          <w:sz w:val="20"/>
          <w:lang w:eastAsia="sk-SK"/>
        </w:rPr>
        <w:t>zároveň je schválený PHSR obce povinnou prílohou pri žiadostiach o čerpanie dotácií z eurofondov</w:t>
      </w:r>
      <w:r w:rsidR="00BD1B03"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 v oblasti rozvoja obce)</w:t>
      </w:r>
    </w:p>
    <w:p w:rsidR="00210230" w:rsidRPr="00C078E1" w:rsidRDefault="00210230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color w:val="0033CC"/>
          <w:sz w:val="20"/>
          <w:lang w:eastAsia="sk-SK"/>
        </w:rPr>
      </w:pPr>
      <w:r w:rsidRPr="00C078E1">
        <w:rPr>
          <w:rFonts w:eastAsia="Times New Roman" w:cs="Times New Roman"/>
          <w:color w:val="0033CC"/>
          <w:sz w:val="20"/>
          <w:lang w:eastAsia="sk-SK"/>
        </w:rPr>
        <w:t xml:space="preserve">Hoci PHSR nie je záväzný dokument ako napríklad územný plán obce, je potrebné ho vnímať ako koncepčný materiál, ktorý identifikuje hlavné problémy, ktoré sú pre hospodársky a sociálny rozvoj daného územia spoločné, a určí opatrenia, ktoré by mali prispieť k riešeniu týchto problémov. Zároveň je to otvorený dokument, ktorý je potrebné podľa vopred stanovených pravidiel </w:t>
      </w:r>
      <w:r w:rsidRPr="00C078E1">
        <w:rPr>
          <w:rFonts w:eastAsia="Times New Roman" w:cs="Times New Roman"/>
          <w:bCs/>
          <w:color w:val="0033CC"/>
          <w:sz w:val="20"/>
          <w:lang w:eastAsia="sk-SK"/>
        </w:rPr>
        <w:t>dopĺňať a aktualizovať</w:t>
      </w:r>
      <w:r w:rsidRPr="00C078E1">
        <w:rPr>
          <w:rFonts w:eastAsia="Times New Roman" w:cs="Times New Roman"/>
          <w:color w:val="0033CC"/>
          <w:sz w:val="20"/>
          <w:lang w:eastAsia="sk-SK"/>
        </w:rPr>
        <w:t>.</w:t>
      </w:r>
    </w:p>
    <w:p w:rsidR="00210230" w:rsidRPr="00C078E1" w:rsidRDefault="00210230" w:rsidP="00BD1B03">
      <w:pPr>
        <w:spacing w:before="0" w:after="0"/>
        <w:jc w:val="both"/>
        <w:rPr>
          <w:rFonts w:eastAsia="Times New Roman" w:cs="Times New Roman"/>
          <w:color w:val="0033CC"/>
          <w:sz w:val="20"/>
          <w:lang w:eastAsia="sk-SK"/>
        </w:rPr>
      </w:pP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>PHSR je výsledkom procesu, do ktorého sa zapájajú všetci územne príslušní partneri na úrovni obce (verejná správa, podnikatelia, mimovládne organizácie, združenia, spolky, občania, ...). Má získať širokú miestnu podporu a stať sa užitočným nástrojom nielen na koordináciu prioritných rozvojových zámerov (verejných a súkromných), ale aj na získavanie prostriedkov potrebných na ich realizáciu. Je dôležité, aby bol tento dokument zrozumiteľný, ľahko čitateľný a prehľadný, pretože jeho užívateľmi okrem verejnej správy a podnikateľských subjektov je aj široká verejnosť.</w:t>
      </w:r>
    </w:p>
    <w:p w:rsidR="00210230" w:rsidRPr="00C078E1" w:rsidRDefault="00210230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PHSR obsahuje tri základné časti: </w:t>
      </w:r>
      <w:r w:rsidRPr="00C078E1">
        <w:rPr>
          <w:rFonts w:eastAsia="Times New Roman" w:cs="Times New Roman"/>
          <w:b w:val="0"/>
          <w:bCs/>
          <w:color w:val="0033CC"/>
          <w:sz w:val="20"/>
          <w:lang w:eastAsia="sk-SK"/>
        </w:rPr>
        <w:t>analytickú</w:t>
      </w: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 (situačná analýza a SWOT), </w:t>
      </w:r>
      <w:r w:rsidRPr="00C078E1">
        <w:rPr>
          <w:rFonts w:eastAsia="Times New Roman" w:cs="Times New Roman"/>
          <w:b w:val="0"/>
          <w:bCs/>
          <w:color w:val="0033CC"/>
          <w:sz w:val="20"/>
          <w:lang w:eastAsia="sk-SK"/>
        </w:rPr>
        <w:t>strategickú</w:t>
      </w: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 (formulovanie vízie a strategických cieľov) a </w:t>
      </w:r>
      <w:r w:rsidRPr="00C078E1">
        <w:rPr>
          <w:rFonts w:eastAsia="Times New Roman" w:cs="Times New Roman"/>
          <w:b w:val="0"/>
          <w:bCs/>
          <w:color w:val="0033CC"/>
          <w:sz w:val="20"/>
          <w:lang w:eastAsia="sk-SK"/>
        </w:rPr>
        <w:t>programovú</w:t>
      </w: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 (akčný plán s časovým harmonogramom a návrhom finančného a organizačného zabezpečenia).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</w:p>
    <w:p w:rsidR="00210230" w:rsidRPr="00C078E1" w:rsidRDefault="00210230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color w:val="0033CC"/>
          <w:sz w:val="20"/>
          <w:lang w:eastAsia="sk-SK"/>
        </w:rPr>
      </w:pPr>
      <w:r w:rsidRPr="00C078E1">
        <w:rPr>
          <w:rFonts w:eastAsia="Times New Roman" w:cs="Times New Roman"/>
          <w:color w:val="0033CC"/>
          <w:sz w:val="20"/>
          <w:lang w:eastAsia="sk-SK"/>
        </w:rPr>
        <w:t>Analyticko-strategická časť obsahuje najmä:</w:t>
      </w:r>
    </w:p>
    <w:p w:rsidR="00210230" w:rsidRPr="00C078E1" w:rsidRDefault="00210230" w:rsidP="00BD1B03">
      <w:pPr>
        <w:spacing w:before="0" w:after="0"/>
        <w:jc w:val="both"/>
        <w:rPr>
          <w:rFonts w:eastAsia="Times New Roman" w:cs="Times New Roman"/>
          <w:color w:val="0033CC"/>
          <w:sz w:val="20"/>
          <w:lang w:eastAsia="sk-SK"/>
        </w:rPr>
      </w:pP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a) súhrnnú geografickú, kultúrno-historickú a sociálno-ekonomickú charakteristiku obce a charakteristiku stavu vybavenosti a obsluhy územia obce, 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b) hodnotenie a analýzu hospodárskej situácie, sociálnej situácie, environmentálnej situácie a situácie v oblasti kultúry a vybavenosti a obsluhy územia obce, 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>c) analýzu väzieb strategických dokumentov v oblasti regionálneho rozvoja s územím obce,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d) určenie rozvojového potenciálu a limitov rozvoja územia obce, definovanie podmienok udržateľného rozvoja obce, 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e) stratégiu rozvoja obce, pri zohľadnení jej vnútorných špecifík, ktorá určí hlavné smery, priority a ciele rozvoja obce, 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>f) analýzu finančných potrieb a možností financovania programu hospodárskeho rozvoja a sociálneho rozvoja obce.</w:t>
      </w:r>
    </w:p>
    <w:p w:rsidR="00210230" w:rsidRPr="00C078E1" w:rsidRDefault="00210230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</w:p>
    <w:p w:rsidR="00210230" w:rsidRPr="00C078E1" w:rsidRDefault="00210230" w:rsidP="00BD1B03">
      <w:pPr>
        <w:spacing w:before="0" w:after="0"/>
        <w:jc w:val="both"/>
        <w:rPr>
          <w:rFonts w:eastAsia="Times New Roman" w:cs="Times New Roman"/>
          <w:color w:val="0033CC"/>
          <w:sz w:val="20"/>
          <w:lang w:eastAsia="sk-SK"/>
        </w:rPr>
      </w:pP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color w:val="0033CC"/>
          <w:sz w:val="20"/>
          <w:lang w:eastAsia="sk-SK"/>
        </w:rPr>
      </w:pPr>
      <w:r w:rsidRPr="00C078E1">
        <w:rPr>
          <w:rFonts w:eastAsia="Times New Roman" w:cs="Times New Roman"/>
          <w:color w:val="0033CC"/>
          <w:sz w:val="20"/>
          <w:lang w:eastAsia="sk-SK"/>
        </w:rPr>
        <w:t>Programová časť obsahuje najmä:</w:t>
      </w:r>
    </w:p>
    <w:p w:rsidR="00210230" w:rsidRPr="00C078E1" w:rsidRDefault="00210230" w:rsidP="00BD1B03">
      <w:pPr>
        <w:spacing w:before="0" w:after="0"/>
        <w:jc w:val="both"/>
        <w:rPr>
          <w:rFonts w:eastAsia="Times New Roman" w:cs="Times New Roman"/>
          <w:color w:val="0033CC"/>
          <w:sz w:val="20"/>
          <w:lang w:eastAsia="sk-SK"/>
        </w:rPr>
      </w:pP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a) zoznam opatrení a aktivít na zabezpečenie realizácie programu hospodárskeho rozvoja a sociálneho rozvoja obce, 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b) inštitucionálne zabezpečenie a organizačné zabezpečenie realizácie programu hospodárskeho rozvoja a sociálneho rozvoja obce, 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c) finančné zabezpečenie jednotlivých opatrení a aktivít, inštitucionálnej a organizačnej stránky realizácie programu hospodárskeho rozvoja a sociálneho rozvoja obce, 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d) systém monitorovania a hodnotenia plnenia programu hospodárskeho rozvoja a sociálneho rozvoja obce s ustanovením merateľných ukazovateľov, 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e) časový harmonogram realizácie programu hospodárskeho rozvoja a sociálneho rozvoja obce. 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color w:val="0033CC"/>
          <w:sz w:val="20"/>
          <w:lang w:eastAsia="sk-SK"/>
        </w:rPr>
      </w:pPr>
      <w:r w:rsidRPr="00C078E1">
        <w:rPr>
          <w:rFonts w:eastAsia="Times New Roman" w:cs="Times New Roman"/>
          <w:color w:val="0033CC"/>
          <w:sz w:val="20"/>
          <w:lang w:eastAsia="sk-SK"/>
        </w:rPr>
        <w:t>Proces vypracovania PHSR má tieto hlavné body:</w:t>
      </w:r>
    </w:p>
    <w:p w:rsidR="00210230" w:rsidRPr="00C078E1" w:rsidRDefault="00210230" w:rsidP="00BD1B03">
      <w:pPr>
        <w:spacing w:before="0" w:after="0"/>
        <w:jc w:val="both"/>
        <w:rPr>
          <w:rFonts w:eastAsia="Times New Roman" w:cs="Times New Roman"/>
          <w:color w:val="0033CC"/>
          <w:sz w:val="20"/>
          <w:lang w:eastAsia="sk-SK"/>
        </w:rPr>
      </w:pP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Cs/>
          <w:color w:val="0033CC"/>
          <w:sz w:val="20"/>
          <w:lang w:eastAsia="sk-SK"/>
        </w:rPr>
        <w:t>1. Príprava podmienok</w:t>
      </w: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 (informovanie verejnosti o procese prípravy PHSR a jednotlivých krokoch, stanovenie časového harmonogramu, utvorenie pracovnej skupiny a prieskum formou ankety ako podklad pre analýzy a súčasne propagácia procesu)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Cs/>
          <w:color w:val="0033CC"/>
          <w:sz w:val="20"/>
          <w:lang w:eastAsia="sk-SK"/>
        </w:rPr>
        <w:t xml:space="preserve">2. Príprava situačnej analýzy </w:t>
      </w: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>(zber údajov, riadené rozhovory, stretnutie pracovnej skupiny a schválenie pracovnej verzie)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Cs/>
          <w:color w:val="0033CC"/>
          <w:sz w:val="20"/>
          <w:lang w:eastAsia="sk-SK"/>
        </w:rPr>
        <w:t xml:space="preserve">3. fáza: Príprava analýzy SWOT </w:t>
      </w: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>(vytýčenie SWOT na stretnutí pracovnej skupiny, dopracovanie spracovateľom a doplnenie pohľadu „zvonka“, schválenie pracovnej verzie)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Cs/>
          <w:color w:val="0033CC"/>
          <w:sz w:val="20"/>
          <w:lang w:eastAsia="sk-SK"/>
        </w:rPr>
        <w:t xml:space="preserve">4. fáza: Príprava stratégie </w:t>
      </w: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>(koordinačná skupina formuluje víziu a návrh stratégie rozvoja strategických smerov a cieľov, pripomienkovanie a doplnenie stratégie pracovnými skupinami a prvý návrh opatrení)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Cs/>
          <w:color w:val="0033CC"/>
          <w:sz w:val="20"/>
          <w:lang w:eastAsia="sk-SK"/>
        </w:rPr>
        <w:t xml:space="preserve">5. fáza: Verejné prerokovanie a kampaň </w:t>
      </w: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>(zverejnenie a pripomienkovanie situačnej analýzy, analýzy SWOT a stratégie, výzva na podávanie podnetov a návrhov projektov, zapracovanie pripomienok a schválenie strategickej časti)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Cs/>
          <w:color w:val="0033CC"/>
          <w:sz w:val="20"/>
          <w:lang w:eastAsia="sk-SK"/>
        </w:rPr>
        <w:t>6. fáza: Príprava implementačnej časti</w:t>
      </w: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 (dopracovanie podnetov, doplnenie námetov koordinačnou skupinou, príprava jednoročného akčného plánu vrátane finančného a administratívneho zabezpečenia v rámci obce, pripomienkovanie)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Cs/>
          <w:color w:val="0033CC"/>
          <w:sz w:val="20"/>
          <w:lang w:eastAsia="sk-SK"/>
        </w:rPr>
        <w:t xml:space="preserve">7. fáza: Prezentácia dokumentu </w:t>
      </w: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 xml:space="preserve">(všetkým účastníkom procesu, širokej verejnosti) 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  <w:r w:rsidRPr="00C078E1">
        <w:rPr>
          <w:rFonts w:eastAsia="Times New Roman" w:cs="Times New Roman"/>
          <w:bCs/>
          <w:color w:val="0033CC"/>
          <w:sz w:val="20"/>
          <w:lang w:eastAsia="sk-SK"/>
        </w:rPr>
        <w:t xml:space="preserve">8. fáza: Schválenie PHSR obce </w:t>
      </w:r>
      <w:r w:rsidRPr="00C078E1">
        <w:rPr>
          <w:rFonts w:eastAsia="Times New Roman" w:cs="Times New Roman"/>
          <w:b w:val="0"/>
          <w:color w:val="0033CC"/>
          <w:sz w:val="20"/>
          <w:lang w:eastAsia="sk-SK"/>
        </w:rPr>
        <w:t>(obecným zastupiteľstvom)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b w:val="0"/>
          <w:color w:val="0033CC"/>
          <w:sz w:val="20"/>
          <w:lang w:eastAsia="sk-SK"/>
        </w:rPr>
      </w:pP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color w:val="0033CC"/>
          <w:sz w:val="20"/>
          <w:lang w:eastAsia="sk-SK"/>
        </w:rPr>
      </w:pPr>
      <w:r w:rsidRPr="00C078E1">
        <w:rPr>
          <w:rFonts w:eastAsia="Times New Roman" w:cs="Times New Roman"/>
          <w:bCs/>
          <w:color w:val="0033CC"/>
          <w:sz w:val="20"/>
          <w:lang w:eastAsia="sk-SK"/>
        </w:rPr>
        <w:t>Dôležité: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color w:val="0033CC"/>
          <w:sz w:val="20"/>
          <w:lang w:eastAsia="sk-SK"/>
        </w:rPr>
      </w:pPr>
      <w:r w:rsidRPr="00C078E1">
        <w:rPr>
          <w:rFonts w:eastAsia="Times New Roman" w:cs="Times New Roman"/>
          <w:color w:val="0033CC"/>
          <w:sz w:val="20"/>
          <w:lang w:eastAsia="sk-SK"/>
        </w:rPr>
        <w:t xml:space="preserve">z hľadiska zákona a tiež dotácií je potrebné spracovať PHSR pre </w:t>
      </w:r>
      <w:r w:rsidRPr="00C078E1">
        <w:rPr>
          <w:rFonts w:eastAsia="Times New Roman" w:cs="Times New Roman"/>
          <w:bCs/>
          <w:color w:val="0033CC"/>
          <w:sz w:val="20"/>
          <w:lang w:eastAsia="sk-SK"/>
        </w:rPr>
        <w:t>obec</w:t>
      </w:r>
      <w:r w:rsidRPr="00C078E1">
        <w:rPr>
          <w:rFonts w:eastAsia="Times New Roman" w:cs="Times New Roman"/>
          <w:color w:val="0033CC"/>
          <w:sz w:val="20"/>
          <w:lang w:eastAsia="sk-SK"/>
        </w:rPr>
        <w:t xml:space="preserve">, nie pre </w:t>
      </w:r>
      <w:r w:rsidRPr="00C078E1">
        <w:rPr>
          <w:rFonts w:eastAsia="Times New Roman" w:cs="Times New Roman"/>
          <w:bCs/>
          <w:color w:val="0033CC"/>
          <w:sz w:val="20"/>
          <w:lang w:eastAsia="sk-SK"/>
        </w:rPr>
        <w:t>mikroregión</w:t>
      </w:r>
    </w:p>
    <w:p w:rsidR="00BD1B03" w:rsidRPr="00C078E1" w:rsidRDefault="00BD1B03" w:rsidP="00BD1B03">
      <w:pPr>
        <w:spacing w:before="0" w:after="0"/>
        <w:jc w:val="both"/>
        <w:rPr>
          <w:rFonts w:eastAsia="Times New Roman" w:cs="Times New Roman"/>
          <w:color w:val="0033CC"/>
          <w:sz w:val="20"/>
          <w:lang w:eastAsia="sk-SK"/>
        </w:rPr>
      </w:pPr>
      <w:r w:rsidRPr="00C078E1">
        <w:rPr>
          <w:rFonts w:eastAsia="Times New Roman" w:cs="Times New Roman"/>
          <w:color w:val="0033CC"/>
          <w:sz w:val="20"/>
          <w:lang w:eastAsia="sk-SK"/>
        </w:rPr>
        <w:t>Program hospodárskeho rozvoja a sociálneho rozvoja obce a jeho aktualizáciu schvaľuje obecné zastupiteľstvo.</w:t>
      </w:r>
    </w:p>
    <w:p w:rsidR="00BD1B03" w:rsidRPr="00D4631C" w:rsidRDefault="00BD1B03" w:rsidP="00BD1B03">
      <w:pPr>
        <w:spacing w:before="0" w:after="0"/>
        <w:jc w:val="both"/>
        <w:rPr>
          <w:rFonts w:eastAsia="Times New Roman" w:cs="Times New Roman"/>
          <w:color w:val="0033CC"/>
          <w:sz w:val="20"/>
          <w:lang w:eastAsia="sk-SK"/>
        </w:rPr>
      </w:pPr>
      <w:r w:rsidRPr="00C078E1">
        <w:rPr>
          <w:rFonts w:eastAsia="Times New Roman" w:cs="Times New Roman"/>
          <w:bCs/>
          <w:color w:val="0033CC"/>
          <w:sz w:val="20"/>
          <w:lang w:eastAsia="sk-SK"/>
        </w:rPr>
        <w:t xml:space="preserve">PHSR ako strategický dokument podlieha podľa aktuálne platnej novely zákona 24/2006 o posudzovaní vplyvov na životné prostredie hodnoteniu SEA a je potrebné dokument predložiť na schválenie príslušnému orgánu. </w:t>
      </w:r>
    </w:p>
    <w:p w:rsidR="0095065F" w:rsidRPr="00D4631C" w:rsidRDefault="00161241" w:rsidP="00D4631C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33CC"/>
          <w:sz w:val="24"/>
          <w:szCs w:val="24"/>
          <w:lang w:eastAsia="sk-SK"/>
        </w:rPr>
      </w:pPr>
      <w:r w:rsidRPr="00161241">
        <w:rPr>
          <w:rFonts w:ascii="Times New Roman" w:eastAsia="Times New Roman" w:hAnsi="Times New Roman" w:cs="Times New Roman"/>
          <w:noProof/>
          <w:color w:val="0033CC"/>
          <w:sz w:val="24"/>
          <w:szCs w:val="24"/>
          <w:lang w:eastAsia="sk-SK"/>
        </w:rPr>
        <w:drawing>
          <wp:inline distT="0" distB="0" distL="0" distR="0" wp14:anchorId="66241D72" wp14:editId="128A8EF6">
            <wp:extent cx="6172835" cy="1857375"/>
            <wp:effectExtent l="0" t="0" r="0" b="952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835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0353" w:rsidRPr="0014481B" w:rsidRDefault="00E169A8" w:rsidP="001F4AB6">
      <w:pPr>
        <w:spacing w:before="0" w:after="0" w:line="276" w:lineRule="auto"/>
        <w:rPr>
          <w:rStyle w:val="Hypertextovprepojenie"/>
          <w:color w:val="0033CC"/>
          <w:sz w:val="16"/>
          <w:szCs w:val="16"/>
        </w:rPr>
      </w:pPr>
      <w:r w:rsidRPr="0014481B">
        <w:rPr>
          <w:color w:val="0033CC"/>
          <w:sz w:val="16"/>
          <w:szCs w:val="16"/>
        </w:rPr>
        <w:t xml:space="preserve">verejne sprístupnené dielo MEDIA COELI </w:t>
      </w:r>
      <w:r w:rsidRPr="0014481B">
        <w:rPr>
          <w:color w:val="0033CC"/>
          <w:sz w:val="16"/>
          <w:szCs w:val="16"/>
          <w:vertAlign w:val="superscript"/>
        </w:rPr>
        <w:t>®</w:t>
      </w:r>
      <w:r w:rsidRPr="0014481B">
        <w:rPr>
          <w:color w:val="0033CC"/>
          <w:sz w:val="16"/>
          <w:szCs w:val="16"/>
        </w:rPr>
        <w:t xml:space="preserve"> podmienky: </w:t>
      </w:r>
      <w:hyperlink r:id="rId11" w:history="1">
        <w:r w:rsidR="00AE59CA" w:rsidRPr="0014481B">
          <w:rPr>
            <w:rStyle w:val="Hypertextovprepojenie"/>
            <w:color w:val="0033CC"/>
            <w:sz w:val="16"/>
            <w:szCs w:val="16"/>
          </w:rPr>
          <w:t>www.mediacoeli.sk</w:t>
        </w:r>
      </w:hyperlink>
    </w:p>
    <w:p w:rsidR="001F4AB6" w:rsidRPr="0014481B" w:rsidRDefault="001F4AB6" w:rsidP="001F4AB6">
      <w:pPr>
        <w:spacing w:before="0" w:after="0" w:line="276" w:lineRule="auto"/>
        <w:rPr>
          <w:color w:val="0033CC"/>
          <w:sz w:val="16"/>
          <w:szCs w:val="16"/>
        </w:rPr>
      </w:pPr>
    </w:p>
    <w:sdt>
      <w:sdtPr>
        <w:rPr>
          <w:color w:val="0033CC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14481B" w:rsidRDefault="000F69FA" w:rsidP="001F4AB6">
          <w:pPr>
            <w:spacing w:before="0" w:after="0" w:line="276" w:lineRule="auto"/>
            <w:rPr>
              <w:color w:val="0033CC"/>
              <w:sz w:val="16"/>
              <w:szCs w:val="16"/>
            </w:rPr>
          </w:pPr>
          <w:r w:rsidRPr="0014481B">
            <w:rPr>
              <w:color w:val="0033CC"/>
              <w:sz w:val="16"/>
              <w:szCs w:val="16"/>
            </w:rPr>
            <w:t xml:space="preserve">Váš konzultant: </w:t>
          </w:r>
        </w:p>
        <w:p w:rsidR="00093E63" w:rsidRPr="0014481B" w:rsidRDefault="00093E63" w:rsidP="001F4AB6">
          <w:pPr>
            <w:spacing w:before="0" w:after="0" w:line="276" w:lineRule="auto"/>
            <w:rPr>
              <w:color w:val="0033CC"/>
              <w:sz w:val="16"/>
              <w:szCs w:val="16"/>
            </w:rPr>
          </w:pPr>
        </w:p>
        <w:p w:rsidR="000F69FA" w:rsidRPr="0014481B" w:rsidRDefault="00E0131B" w:rsidP="001F4AB6">
          <w:pPr>
            <w:spacing w:before="0" w:after="0" w:line="276" w:lineRule="auto"/>
            <w:rPr>
              <w:color w:val="0033CC"/>
              <w:sz w:val="16"/>
              <w:szCs w:val="16"/>
            </w:rPr>
          </w:pPr>
        </w:p>
        <w:bookmarkEnd w:id="0" w:displacedByCustomXml="next"/>
      </w:sdtContent>
    </w:sdt>
    <w:sectPr w:rsidR="000F69FA" w:rsidRPr="0014481B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31B" w:rsidRDefault="00E0131B" w:rsidP="00F4420D">
      <w:pPr>
        <w:spacing w:after="0"/>
      </w:pPr>
      <w:r>
        <w:separator/>
      </w:r>
    </w:p>
  </w:endnote>
  <w:endnote w:type="continuationSeparator" w:id="0">
    <w:p w:rsidR="00E0131B" w:rsidRDefault="00E0131B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E0131B" w:rsidRPr="00E0131B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E0131B" w:rsidRPr="00E0131B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31B" w:rsidRDefault="00E0131B" w:rsidP="00F4420D">
      <w:pPr>
        <w:spacing w:after="0"/>
      </w:pPr>
      <w:r>
        <w:separator/>
      </w:r>
    </w:p>
  </w:footnote>
  <w:footnote w:type="continuationSeparator" w:id="0">
    <w:p w:rsidR="00E0131B" w:rsidRDefault="00E0131B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9A5A3B" w:rsidRDefault="00013B8B" w:rsidP="00A36AFE">
    <w:pPr>
      <w:jc w:val="right"/>
      <w:rPr>
        <w:b w:val="0"/>
        <w:color w:val="A6A6A6" w:themeColor="background1" w:themeShade="A6"/>
        <w:sz w:val="16"/>
        <w:szCs w:val="16"/>
      </w:rPr>
    </w:pPr>
    <w:r>
      <w:rPr>
        <w:color w:val="A6A6A6" w:themeColor="background1" w:themeShade="A6"/>
        <w:sz w:val="16"/>
        <w:szCs w:val="16"/>
      </w:rPr>
      <w:t>Program hospodárskeho a sociálneho rozvoja ( PHSR )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101ADBD9" wp14:editId="7170BBC4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F498C"/>
    <w:multiLevelType w:val="multilevel"/>
    <w:tmpl w:val="787ED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EBnKiIqf6vcO/mmxYLHDUxKXDwg=" w:salt="KL00mgQBHHjCZ1P/cZ2hwQ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3B8B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4481B"/>
    <w:rsid w:val="00150353"/>
    <w:rsid w:val="00157167"/>
    <w:rsid w:val="00161241"/>
    <w:rsid w:val="00164B21"/>
    <w:rsid w:val="00171F91"/>
    <w:rsid w:val="00172A05"/>
    <w:rsid w:val="0018154F"/>
    <w:rsid w:val="001932A8"/>
    <w:rsid w:val="001D3D21"/>
    <w:rsid w:val="001F4AB6"/>
    <w:rsid w:val="00210230"/>
    <w:rsid w:val="002125F1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47FFD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656F0"/>
    <w:rsid w:val="005925B6"/>
    <w:rsid w:val="005A643E"/>
    <w:rsid w:val="00602EF9"/>
    <w:rsid w:val="006203D3"/>
    <w:rsid w:val="00645C24"/>
    <w:rsid w:val="00673F90"/>
    <w:rsid w:val="00681C33"/>
    <w:rsid w:val="006B6987"/>
    <w:rsid w:val="0072638E"/>
    <w:rsid w:val="00736B3E"/>
    <w:rsid w:val="007617E7"/>
    <w:rsid w:val="00787A94"/>
    <w:rsid w:val="007C3213"/>
    <w:rsid w:val="00801DDE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43241"/>
    <w:rsid w:val="00BD1B03"/>
    <w:rsid w:val="00BE4284"/>
    <w:rsid w:val="00BF6324"/>
    <w:rsid w:val="00BF7C27"/>
    <w:rsid w:val="00C078E1"/>
    <w:rsid w:val="00C84B9F"/>
    <w:rsid w:val="00C869DB"/>
    <w:rsid w:val="00C87C5C"/>
    <w:rsid w:val="00CA4707"/>
    <w:rsid w:val="00CC3E8D"/>
    <w:rsid w:val="00CD484A"/>
    <w:rsid w:val="00D0790B"/>
    <w:rsid w:val="00D10615"/>
    <w:rsid w:val="00D4631C"/>
    <w:rsid w:val="00D51B96"/>
    <w:rsid w:val="00D80350"/>
    <w:rsid w:val="00DB0B54"/>
    <w:rsid w:val="00E0131B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C6BB1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70BD3"/>
    <w:rsid w:val="000D76FF"/>
    <w:rsid w:val="004B1A36"/>
    <w:rsid w:val="005B672F"/>
    <w:rsid w:val="00670F02"/>
    <w:rsid w:val="00677726"/>
    <w:rsid w:val="00717489"/>
    <w:rsid w:val="0086398C"/>
    <w:rsid w:val="009077E9"/>
    <w:rsid w:val="009D5FA1"/>
    <w:rsid w:val="00A3700D"/>
    <w:rsid w:val="00D91FD6"/>
    <w:rsid w:val="00DE406D"/>
    <w:rsid w:val="00E43644"/>
    <w:rsid w:val="00E52C02"/>
    <w:rsid w:val="00EC78B3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CC3AC87-7F99-475C-AA7D-630D9AD2A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Program hospodárskeho a sociálneho rozvoja ( PHSR )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5926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hospodárskeho a sociálneho rozvoja ( PHSR )</dc:title>
  <dc:creator>MEDIA COELI ®</dc:creator>
  <cp:lastModifiedBy>Milena Mrvová</cp:lastModifiedBy>
  <cp:revision>11</cp:revision>
  <cp:lastPrinted>2013-06-14T13:04:00Z</cp:lastPrinted>
  <dcterms:created xsi:type="dcterms:W3CDTF">2013-01-15T21:59:00Z</dcterms:created>
  <dcterms:modified xsi:type="dcterms:W3CDTF">2013-06-14T13:05:00Z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