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DD7" w:rsidRPr="00663DF2" w:rsidRDefault="00357DD7" w:rsidP="007024DB">
      <w:pPr>
        <w:spacing w:before="0" w:after="0"/>
        <w:jc w:val="both"/>
        <w:rPr>
          <w:b w:val="0"/>
          <w:color w:val="842F73" w:themeColor="text2" w:themeShade="BF"/>
          <w:sz w:val="20"/>
        </w:rPr>
      </w:pPr>
    </w:p>
    <w:p w:rsidR="0095065F" w:rsidRPr="00663DF2" w:rsidRDefault="0095065F" w:rsidP="007024DB">
      <w:pPr>
        <w:spacing w:before="0" w:after="0"/>
        <w:jc w:val="both"/>
        <w:rPr>
          <w:color w:val="842F73" w:themeColor="text2" w:themeShade="BF"/>
          <w:sz w:val="20"/>
        </w:rPr>
      </w:pPr>
    </w:p>
    <w:p w:rsidR="00535445" w:rsidRPr="00663DF2" w:rsidRDefault="00535445" w:rsidP="007024DB">
      <w:pPr>
        <w:spacing w:before="0" w:after="0"/>
        <w:jc w:val="both"/>
        <w:rPr>
          <w:b w:val="0"/>
          <w:color w:val="842F73" w:themeColor="text2" w:themeShade="BF"/>
          <w:sz w:val="20"/>
        </w:rPr>
      </w:pPr>
    </w:p>
    <w:p w:rsidR="00BB0867" w:rsidRPr="00663DF2" w:rsidRDefault="00BB0867" w:rsidP="007024DB">
      <w:pPr>
        <w:spacing w:before="0" w:after="0"/>
        <w:jc w:val="both"/>
        <w:rPr>
          <w:b w:val="0"/>
          <w:color w:val="842F73" w:themeColor="text2" w:themeShade="BF"/>
          <w:sz w:val="20"/>
        </w:rPr>
      </w:pPr>
    </w:p>
    <w:p w:rsidR="00FD2472" w:rsidRPr="00663DF2" w:rsidRDefault="00FD2472" w:rsidP="00FD2472">
      <w:pPr>
        <w:spacing w:before="0" w:after="0"/>
        <w:jc w:val="both"/>
        <w:rPr>
          <w:b w:val="0"/>
          <w:color w:val="842F73" w:themeColor="text2" w:themeShade="BF"/>
          <w:sz w:val="20"/>
        </w:rPr>
      </w:pPr>
      <w:r w:rsidRPr="00663DF2">
        <w:rPr>
          <w:bCs/>
          <w:color w:val="842F73" w:themeColor="text2" w:themeShade="BF"/>
          <w:sz w:val="20"/>
        </w:rPr>
        <w:t>Vysvetlenie pojmu Póly rastu.</w:t>
      </w:r>
    </w:p>
    <w:p w:rsidR="00FD2472" w:rsidRPr="00663DF2" w:rsidRDefault="00FD2472" w:rsidP="00FD2472">
      <w:pPr>
        <w:spacing w:before="0" w:after="0"/>
        <w:jc w:val="both"/>
        <w:rPr>
          <w:b w:val="0"/>
          <w:color w:val="842F73" w:themeColor="text2" w:themeShade="BF"/>
          <w:sz w:val="20"/>
        </w:rPr>
      </w:pPr>
    </w:p>
    <w:p w:rsidR="00FD2472" w:rsidRPr="00663DF2" w:rsidRDefault="00FD2472" w:rsidP="00FD2472">
      <w:pPr>
        <w:spacing w:before="0" w:after="0"/>
        <w:jc w:val="both"/>
        <w:rPr>
          <w:b w:val="0"/>
          <w:color w:val="842F73" w:themeColor="text2" w:themeShade="BF"/>
          <w:sz w:val="20"/>
        </w:rPr>
      </w:pPr>
      <w:r w:rsidRPr="00663DF2">
        <w:rPr>
          <w:b w:val="0"/>
          <w:color w:val="842F73" w:themeColor="text2" w:themeShade="BF"/>
          <w:sz w:val="20"/>
        </w:rPr>
        <w:t>Obce boli zoradené do skupín podľa významu a ich lokalizácie v sídelnom systéme. Vyšpecifikovali sa inovačné póly rastu, záujmové územie inovačných pólov rastu a kohézne póly rastu nasledovne. Pri stanovovaní inovačných pólov rastu sa vychádzalo z celoštátnej územnoplánovacej dokumentácie Koncepcia územného rozvoja Slovenska 2001 a správneho členenia SR. Celkový počet hodnotených obcí SR bol 2 891. Celkový počet hodnotených obcí SR mimo Bratislavského kraja bol 2 818.</w:t>
      </w:r>
    </w:p>
    <w:p w:rsidR="00FD2472" w:rsidRPr="00663DF2" w:rsidRDefault="00FD2472" w:rsidP="00FD2472">
      <w:pPr>
        <w:spacing w:before="0" w:after="0"/>
        <w:jc w:val="both"/>
        <w:rPr>
          <w:b w:val="0"/>
          <w:color w:val="842F73" w:themeColor="text2" w:themeShade="BF"/>
          <w:sz w:val="20"/>
        </w:rPr>
      </w:pPr>
    </w:p>
    <w:p w:rsidR="00FD2472" w:rsidRPr="00663DF2" w:rsidRDefault="00FD2472" w:rsidP="00FD2472">
      <w:pPr>
        <w:spacing w:before="0" w:after="0"/>
        <w:jc w:val="both"/>
        <w:rPr>
          <w:b w:val="0"/>
          <w:color w:val="842F73" w:themeColor="text2" w:themeShade="BF"/>
          <w:sz w:val="20"/>
        </w:rPr>
      </w:pPr>
    </w:p>
    <w:p w:rsidR="00FD2472" w:rsidRPr="00663DF2" w:rsidRDefault="00FD2472" w:rsidP="00FD2472">
      <w:pPr>
        <w:spacing w:before="0" w:after="0"/>
        <w:jc w:val="both"/>
        <w:rPr>
          <w:b w:val="0"/>
          <w:color w:val="842F73" w:themeColor="text2" w:themeShade="BF"/>
          <w:sz w:val="20"/>
        </w:rPr>
      </w:pPr>
      <w:r w:rsidRPr="00663DF2">
        <w:rPr>
          <w:bCs/>
          <w:color w:val="842F73" w:themeColor="text2" w:themeShade="BF"/>
          <w:sz w:val="20"/>
        </w:rPr>
        <w:t>1. inovačné póly rastu</w:t>
      </w:r>
      <w:r w:rsidRPr="00663DF2">
        <w:rPr>
          <w:b w:val="0"/>
          <w:color w:val="842F73" w:themeColor="text2" w:themeShade="BF"/>
          <w:sz w:val="20"/>
        </w:rPr>
        <w:t xml:space="preserve"> sa hierarchicky členia na:</w:t>
      </w:r>
    </w:p>
    <w:p w:rsidR="00FD2472" w:rsidRPr="00663DF2" w:rsidRDefault="00FD2472" w:rsidP="00FD2472">
      <w:pPr>
        <w:spacing w:before="0" w:after="0"/>
        <w:jc w:val="both"/>
        <w:rPr>
          <w:b w:val="0"/>
          <w:color w:val="842F73" w:themeColor="text2" w:themeShade="BF"/>
          <w:sz w:val="20"/>
        </w:rPr>
      </w:pPr>
    </w:p>
    <w:p w:rsidR="00FD2472" w:rsidRPr="00663DF2" w:rsidRDefault="00FD2472" w:rsidP="00FD2472">
      <w:pPr>
        <w:spacing w:before="0" w:after="0"/>
        <w:jc w:val="both"/>
        <w:rPr>
          <w:b w:val="0"/>
          <w:color w:val="842F73" w:themeColor="text2" w:themeShade="BF"/>
          <w:sz w:val="20"/>
        </w:rPr>
      </w:pPr>
      <w:r w:rsidRPr="00663DF2">
        <w:rPr>
          <w:b w:val="0"/>
          <w:color w:val="842F73" w:themeColor="text2" w:themeShade="BF"/>
          <w:sz w:val="20"/>
        </w:rPr>
        <w:t>- centrum osídlenia celoštátneho až medzinárodného významu (krajské mesto)</w:t>
      </w:r>
    </w:p>
    <w:p w:rsidR="00FD2472" w:rsidRPr="00663DF2" w:rsidRDefault="00FD2472" w:rsidP="00FD2472">
      <w:pPr>
        <w:spacing w:before="0" w:after="0"/>
        <w:jc w:val="both"/>
        <w:rPr>
          <w:b w:val="0"/>
          <w:color w:val="842F73" w:themeColor="text2" w:themeShade="BF"/>
          <w:sz w:val="20"/>
        </w:rPr>
      </w:pPr>
      <w:r w:rsidRPr="00663DF2">
        <w:rPr>
          <w:b w:val="0"/>
          <w:color w:val="842F73" w:themeColor="text2" w:themeShade="BF"/>
          <w:sz w:val="20"/>
        </w:rPr>
        <w:t>- centrum osídlenia regionálneho významu v rámci jadrového pásma ťažiska osídlenia 1. stupňa</w:t>
      </w:r>
    </w:p>
    <w:p w:rsidR="00FD2472" w:rsidRPr="00663DF2" w:rsidRDefault="00FD2472" w:rsidP="00FD2472">
      <w:pPr>
        <w:spacing w:before="0" w:after="0"/>
        <w:jc w:val="both"/>
        <w:rPr>
          <w:b w:val="0"/>
          <w:color w:val="842F73" w:themeColor="text2" w:themeShade="BF"/>
          <w:sz w:val="20"/>
        </w:rPr>
      </w:pPr>
      <w:r w:rsidRPr="00663DF2">
        <w:rPr>
          <w:b w:val="0"/>
          <w:color w:val="842F73" w:themeColor="text2" w:themeShade="BF"/>
          <w:sz w:val="20"/>
        </w:rPr>
        <w:t>- centrum osídlenia regionálneho významu v rámci prímestského pásma ťažiska osídlenia 1. stupňa</w:t>
      </w:r>
    </w:p>
    <w:p w:rsidR="00FD2472" w:rsidRPr="00663DF2" w:rsidRDefault="00FD2472" w:rsidP="00FD2472">
      <w:pPr>
        <w:spacing w:before="0" w:after="0"/>
        <w:jc w:val="both"/>
        <w:rPr>
          <w:b w:val="0"/>
          <w:color w:val="842F73" w:themeColor="text2" w:themeShade="BF"/>
          <w:sz w:val="20"/>
        </w:rPr>
      </w:pPr>
      <w:r w:rsidRPr="00663DF2">
        <w:rPr>
          <w:b w:val="0"/>
          <w:color w:val="842F73" w:themeColor="text2" w:themeShade="BF"/>
          <w:sz w:val="20"/>
        </w:rPr>
        <w:t xml:space="preserve">- centrum osídlenia regionálneho až nadregionálneho významu ako jadro ťažiska osídlenia </w:t>
      </w:r>
    </w:p>
    <w:p w:rsidR="00FD2472" w:rsidRPr="00663DF2" w:rsidRDefault="00FD2472" w:rsidP="00FD2472">
      <w:pPr>
        <w:spacing w:before="0" w:after="0"/>
        <w:jc w:val="both"/>
        <w:rPr>
          <w:b w:val="0"/>
          <w:color w:val="842F73" w:themeColor="text2" w:themeShade="BF"/>
          <w:sz w:val="20"/>
        </w:rPr>
      </w:pPr>
      <w:r w:rsidRPr="00663DF2">
        <w:rPr>
          <w:b w:val="0"/>
          <w:color w:val="842F73" w:themeColor="text2" w:themeShade="BF"/>
          <w:sz w:val="20"/>
        </w:rPr>
        <w:t>2.stupňa</w:t>
      </w:r>
    </w:p>
    <w:p w:rsidR="00FD2472" w:rsidRPr="00663DF2" w:rsidRDefault="00FD2472" w:rsidP="00FD2472">
      <w:pPr>
        <w:numPr>
          <w:ilvl w:val="0"/>
          <w:numId w:val="2"/>
        </w:numPr>
        <w:spacing w:before="0" w:after="0"/>
        <w:jc w:val="both"/>
        <w:rPr>
          <w:b w:val="0"/>
          <w:color w:val="842F73" w:themeColor="text2" w:themeShade="BF"/>
          <w:sz w:val="20"/>
        </w:rPr>
      </w:pPr>
      <w:r w:rsidRPr="00663DF2">
        <w:rPr>
          <w:b w:val="0"/>
          <w:color w:val="842F73" w:themeColor="text2" w:themeShade="BF"/>
          <w:sz w:val="20"/>
        </w:rPr>
        <w:t>centrum osídlenia regionálneho významu</w:t>
      </w:r>
    </w:p>
    <w:p w:rsidR="00FD2472" w:rsidRPr="00663DF2" w:rsidRDefault="00FD2472" w:rsidP="00FD2472">
      <w:pPr>
        <w:spacing w:before="0" w:after="0"/>
        <w:jc w:val="both"/>
        <w:rPr>
          <w:b w:val="0"/>
          <w:color w:val="842F73" w:themeColor="text2" w:themeShade="BF"/>
          <w:sz w:val="20"/>
        </w:rPr>
      </w:pPr>
    </w:p>
    <w:p w:rsidR="00FD2472" w:rsidRPr="00663DF2" w:rsidRDefault="00FD2472" w:rsidP="00FD2472">
      <w:pPr>
        <w:spacing w:before="0" w:after="0"/>
        <w:jc w:val="both"/>
        <w:rPr>
          <w:b w:val="0"/>
          <w:color w:val="842F73" w:themeColor="text2" w:themeShade="BF"/>
          <w:sz w:val="20"/>
        </w:rPr>
      </w:pPr>
    </w:p>
    <w:p w:rsidR="00FD2472" w:rsidRPr="00663DF2" w:rsidRDefault="00FD2472" w:rsidP="00FD2472">
      <w:pPr>
        <w:spacing w:before="0" w:after="0"/>
        <w:jc w:val="both"/>
        <w:rPr>
          <w:b w:val="0"/>
          <w:color w:val="842F73" w:themeColor="text2" w:themeShade="BF"/>
          <w:sz w:val="20"/>
        </w:rPr>
      </w:pPr>
      <w:r w:rsidRPr="00663DF2">
        <w:rPr>
          <w:bCs/>
          <w:color w:val="842F73" w:themeColor="text2" w:themeShade="BF"/>
          <w:sz w:val="20"/>
        </w:rPr>
        <w:t>2. záujmové územia inovačného pólu rastu</w:t>
      </w:r>
      <w:r w:rsidRPr="00663DF2">
        <w:rPr>
          <w:b w:val="0"/>
          <w:color w:val="842F73" w:themeColor="text2" w:themeShade="BF"/>
          <w:sz w:val="20"/>
        </w:rPr>
        <w:t xml:space="preserve"> </w:t>
      </w:r>
    </w:p>
    <w:p w:rsidR="00FD2472" w:rsidRPr="00663DF2" w:rsidRDefault="00FD2472" w:rsidP="00FD2472">
      <w:pPr>
        <w:spacing w:before="0" w:after="0"/>
        <w:jc w:val="both"/>
        <w:rPr>
          <w:b w:val="0"/>
          <w:color w:val="842F73" w:themeColor="text2" w:themeShade="BF"/>
          <w:sz w:val="20"/>
        </w:rPr>
      </w:pPr>
    </w:p>
    <w:p w:rsidR="00FD2472" w:rsidRPr="00663DF2" w:rsidRDefault="00FD2472" w:rsidP="00FD2472">
      <w:pPr>
        <w:spacing w:before="0" w:after="0"/>
        <w:jc w:val="both"/>
        <w:rPr>
          <w:b w:val="0"/>
          <w:color w:val="842F73" w:themeColor="text2" w:themeShade="BF"/>
          <w:sz w:val="20"/>
        </w:rPr>
      </w:pPr>
      <w:r w:rsidRPr="00663DF2">
        <w:rPr>
          <w:b w:val="0"/>
          <w:color w:val="842F73" w:themeColor="text2" w:themeShade="BF"/>
          <w:sz w:val="20"/>
        </w:rPr>
        <w:t>Boli vymedzené na základe podkladov Koncepcie územného rozvoja Slovenska 2001 (KURS 2001), kde boli definované a vymedzené ťažiská osídlenia. Záujmové územia inovačných pólov rastu boli vymedzené okolo centier osídlenia celoštátneho až medzinárodného významu (krajské mesto) a okolo centier osídlenia regionálneho až nadregionálneho významu tvoriacich jadro ťažiska osídlenia 2. stupňa. Záujmové územie inovačného pólu rastu pozostáva z katastrálnych území jadrového a prímestského pásma ťažísk osídlenia 1. stupňa a ťažísk osídlenia 2. stupňa</w:t>
      </w:r>
    </w:p>
    <w:p w:rsidR="00FD2472" w:rsidRPr="00663DF2" w:rsidRDefault="00FD2472" w:rsidP="00FD2472">
      <w:pPr>
        <w:spacing w:before="0" w:after="0"/>
        <w:jc w:val="both"/>
        <w:rPr>
          <w:b w:val="0"/>
          <w:color w:val="842F73" w:themeColor="text2" w:themeShade="BF"/>
          <w:sz w:val="20"/>
        </w:rPr>
      </w:pPr>
    </w:p>
    <w:p w:rsidR="00FD2472" w:rsidRPr="00663DF2" w:rsidRDefault="00FD2472" w:rsidP="00FD2472">
      <w:pPr>
        <w:spacing w:before="0" w:after="0"/>
        <w:jc w:val="both"/>
        <w:rPr>
          <w:b w:val="0"/>
          <w:color w:val="842F73" w:themeColor="text2" w:themeShade="BF"/>
          <w:sz w:val="20"/>
        </w:rPr>
      </w:pPr>
    </w:p>
    <w:p w:rsidR="00FD2472" w:rsidRPr="00663DF2" w:rsidRDefault="00FD2472" w:rsidP="00FD2472">
      <w:pPr>
        <w:spacing w:before="0" w:after="0"/>
        <w:jc w:val="both"/>
        <w:rPr>
          <w:b w:val="0"/>
          <w:color w:val="842F73" w:themeColor="text2" w:themeShade="BF"/>
          <w:sz w:val="20"/>
        </w:rPr>
      </w:pPr>
      <w:r w:rsidRPr="00663DF2">
        <w:rPr>
          <w:bCs/>
          <w:color w:val="842F73" w:themeColor="text2" w:themeShade="BF"/>
          <w:sz w:val="20"/>
        </w:rPr>
        <w:t>3. kohézne póly rastu</w:t>
      </w:r>
      <w:r w:rsidRPr="00663DF2">
        <w:rPr>
          <w:b w:val="0"/>
          <w:color w:val="842F73" w:themeColor="text2" w:themeShade="BF"/>
          <w:sz w:val="20"/>
        </w:rPr>
        <w:t xml:space="preserve"> </w:t>
      </w:r>
    </w:p>
    <w:p w:rsidR="00FD2472" w:rsidRPr="00663DF2" w:rsidRDefault="00FD2472" w:rsidP="00FD2472">
      <w:pPr>
        <w:spacing w:before="0" w:after="0"/>
        <w:jc w:val="both"/>
        <w:rPr>
          <w:b w:val="0"/>
          <w:color w:val="842F73" w:themeColor="text2" w:themeShade="BF"/>
          <w:sz w:val="20"/>
        </w:rPr>
      </w:pPr>
    </w:p>
    <w:p w:rsidR="00FD2472" w:rsidRPr="00663DF2" w:rsidRDefault="00FD2472" w:rsidP="00FD2472">
      <w:pPr>
        <w:spacing w:before="0" w:after="0"/>
        <w:jc w:val="both"/>
        <w:rPr>
          <w:b w:val="0"/>
          <w:color w:val="842F73" w:themeColor="text2" w:themeShade="BF"/>
          <w:sz w:val="20"/>
        </w:rPr>
      </w:pPr>
      <w:r w:rsidRPr="00663DF2">
        <w:rPr>
          <w:b w:val="0"/>
          <w:color w:val="842F73" w:themeColor="text2" w:themeShade="BF"/>
          <w:sz w:val="20"/>
        </w:rPr>
        <w:t>Sa hierarchicky členia podľa svojej polohy v systéme osídlenia na:</w:t>
      </w:r>
    </w:p>
    <w:p w:rsidR="00FD2472" w:rsidRPr="00663DF2" w:rsidRDefault="00FD2472" w:rsidP="00FD2472">
      <w:pPr>
        <w:spacing w:before="0" w:after="0"/>
        <w:jc w:val="both"/>
        <w:rPr>
          <w:b w:val="0"/>
          <w:color w:val="842F73" w:themeColor="text2" w:themeShade="BF"/>
          <w:sz w:val="20"/>
        </w:rPr>
      </w:pPr>
      <w:r w:rsidRPr="00663DF2">
        <w:rPr>
          <w:b w:val="0"/>
          <w:color w:val="842F73" w:themeColor="text2" w:themeShade="BF"/>
          <w:sz w:val="20"/>
        </w:rPr>
        <w:t>- mikroregionálne centrum ležiace v záujmovom území inovačného pólu rastu vymedzeného jadrovým pásmom ťažiska osídlenia 1. stupňa</w:t>
      </w:r>
    </w:p>
    <w:p w:rsidR="00FD2472" w:rsidRPr="00663DF2" w:rsidRDefault="00FD2472" w:rsidP="00FD2472">
      <w:pPr>
        <w:spacing w:before="0" w:after="0"/>
        <w:jc w:val="both"/>
        <w:rPr>
          <w:b w:val="0"/>
          <w:color w:val="842F73" w:themeColor="text2" w:themeShade="BF"/>
          <w:sz w:val="20"/>
        </w:rPr>
      </w:pPr>
      <w:r w:rsidRPr="00663DF2">
        <w:rPr>
          <w:b w:val="0"/>
          <w:color w:val="842F73" w:themeColor="text2" w:themeShade="BF"/>
          <w:sz w:val="20"/>
        </w:rPr>
        <w:t>- mikroregionálne centrum ležiace v záujmovom území inovačného pólu rastu vymedzeného prímestským pásmom ťažiska osídlenia 1. stupňa</w:t>
      </w:r>
    </w:p>
    <w:p w:rsidR="00FD2472" w:rsidRPr="00663DF2" w:rsidRDefault="00FD2472" w:rsidP="00FD2472">
      <w:pPr>
        <w:spacing w:before="0" w:after="0"/>
        <w:jc w:val="both"/>
        <w:rPr>
          <w:b w:val="0"/>
          <w:color w:val="842F73" w:themeColor="text2" w:themeShade="BF"/>
          <w:sz w:val="20"/>
        </w:rPr>
      </w:pPr>
      <w:r w:rsidRPr="00663DF2">
        <w:rPr>
          <w:b w:val="0"/>
          <w:color w:val="842F73" w:themeColor="text2" w:themeShade="BF"/>
          <w:sz w:val="20"/>
        </w:rPr>
        <w:t>- mikroregionálne centrum ležiace v záujmovom území inovačného pólu rastu vymedzeného ťažiskom osídlenia 2. stupňa</w:t>
      </w:r>
    </w:p>
    <w:p w:rsidR="00FD2472" w:rsidRPr="00663DF2" w:rsidRDefault="00FD2472" w:rsidP="00FD2472">
      <w:pPr>
        <w:numPr>
          <w:ilvl w:val="0"/>
          <w:numId w:val="3"/>
        </w:numPr>
        <w:spacing w:before="0" w:after="0"/>
        <w:jc w:val="both"/>
        <w:rPr>
          <w:b w:val="0"/>
          <w:color w:val="842F73" w:themeColor="text2" w:themeShade="BF"/>
          <w:sz w:val="20"/>
        </w:rPr>
      </w:pPr>
      <w:r w:rsidRPr="00663DF2">
        <w:rPr>
          <w:b w:val="0"/>
          <w:color w:val="842F73" w:themeColor="text2" w:themeShade="BF"/>
          <w:sz w:val="20"/>
        </w:rPr>
        <w:t>mikroregionálne centrum mimo záujmového územia inovačných pólov rastu</w:t>
      </w:r>
    </w:p>
    <w:p w:rsidR="00FD2472" w:rsidRPr="00663DF2" w:rsidRDefault="00FD2472" w:rsidP="00FD2472">
      <w:pPr>
        <w:numPr>
          <w:ilvl w:val="0"/>
          <w:numId w:val="3"/>
        </w:numPr>
        <w:spacing w:before="0" w:after="0"/>
        <w:jc w:val="both"/>
        <w:rPr>
          <w:b w:val="0"/>
          <w:color w:val="842F73" w:themeColor="text2" w:themeShade="BF"/>
          <w:sz w:val="20"/>
        </w:rPr>
      </w:pPr>
    </w:p>
    <w:p w:rsidR="00FD2472" w:rsidRPr="00663DF2" w:rsidRDefault="00FD2472" w:rsidP="00FD2472">
      <w:pPr>
        <w:spacing w:before="0" w:after="0"/>
        <w:jc w:val="both"/>
        <w:rPr>
          <w:b w:val="0"/>
          <w:color w:val="842F73" w:themeColor="text2" w:themeShade="BF"/>
          <w:sz w:val="20"/>
        </w:rPr>
      </w:pPr>
    </w:p>
    <w:p w:rsidR="00FD2472" w:rsidRPr="00663DF2" w:rsidRDefault="00FD2472" w:rsidP="00FD2472">
      <w:pPr>
        <w:spacing w:before="0" w:after="0"/>
        <w:jc w:val="both"/>
        <w:rPr>
          <w:b w:val="0"/>
          <w:color w:val="842F73" w:themeColor="text2" w:themeShade="BF"/>
          <w:sz w:val="20"/>
        </w:rPr>
      </w:pPr>
      <w:r w:rsidRPr="00663DF2">
        <w:rPr>
          <w:bCs/>
          <w:color w:val="842F73" w:themeColor="text2" w:themeShade="BF"/>
          <w:sz w:val="20"/>
        </w:rPr>
        <w:t>4. obce mimo inovačných a kohéznych pólov rastu</w:t>
      </w:r>
      <w:r w:rsidRPr="00663DF2">
        <w:rPr>
          <w:b w:val="0"/>
          <w:color w:val="842F73" w:themeColor="text2" w:themeShade="BF"/>
          <w:sz w:val="20"/>
        </w:rPr>
        <w:t xml:space="preserve"> </w:t>
      </w:r>
    </w:p>
    <w:p w:rsidR="00FD2472" w:rsidRPr="00663DF2" w:rsidRDefault="00FD2472" w:rsidP="00FD2472">
      <w:pPr>
        <w:spacing w:before="0" w:after="0"/>
        <w:jc w:val="both"/>
        <w:rPr>
          <w:b w:val="0"/>
          <w:color w:val="842F73" w:themeColor="text2" w:themeShade="BF"/>
          <w:sz w:val="20"/>
        </w:rPr>
      </w:pPr>
    </w:p>
    <w:p w:rsidR="00FD2472" w:rsidRPr="00663DF2" w:rsidRDefault="00FD2472" w:rsidP="00FD2472">
      <w:pPr>
        <w:spacing w:before="0" w:after="0"/>
        <w:jc w:val="both"/>
        <w:rPr>
          <w:b w:val="0"/>
          <w:color w:val="842F73" w:themeColor="text2" w:themeShade="BF"/>
          <w:sz w:val="20"/>
        </w:rPr>
      </w:pPr>
      <w:r w:rsidRPr="00663DF2">
        <w:rPr>
          <w:b w:val="0"/>
          <w:color w:val="842F73" w:themeColor="text2" w:themeShade="BF"/>
          <w:sz w:val="20"/>
        </w:rPr>
        <w:t>sa členia podľa ich lokalizácie v systéme osídlenia na:</w:t>
      </w:r>
    </w:p>
    <w:p w:rsidR="00FD2472" w:rsidRPr="00663DF2" w:rsidRDefault="00FD2472" w:rsidP="00FD2472">
      <w:pPr>
        <w:spacing w:before="0" w:after="0"/>
        <w:jc w:val="both"/>
        <w:rPr>
          <w:b w:val="0"/>
          <w:color w:val="842F73" w:themeColor="text2" w:themeShade="BF"/>
          <w:sz w:val="20"/>
        </w:rPr>
      </w:pPr>
      <w:r w:rsidRPr="00663DF2">
        <w:rPr>
          <w:b w:val="0"/>
          <w:color w:val="842F73" w:themeColor="text2" w:themeShade="BF"/>
          <w:sz w:val="20"/>
        </w:rPr>
        <w:t>- obec záujmového územia inovačného pólu rastu vymedzeného jadrovým pásmom ťažiska osídlenia 1. stupňa</w:t>
      </w:r>
    </w:p>
    <w:p w:rsidR="00FD2472" w:rsidRPr="00663DF2" w:rsidRDefault="00FD2472" w:rsidP="00FD2472">
      <w:pPr>
        <w:spacing w:before="0" w:after="0"/>
        <w:jc w:val="both"/>
        <w:rPr>
          <w:b w:val="0"/>
          <w:color w:val="842F73" w:themeColor="text2" w:themeShade="BF"/>
          <w:sz w:val="20"/>
        </w:rPr>
      </w:pPr>
      <w:r w:rsidRPr="00663DF2">
        <w:rPr>
          <w:b w:val="0"/>
          <w:color w:val="842F73" w:themeColor="text2" w:themeShade="BF"/>
          <w:sz w:val="20"/>
        </w:rPr>
        <w:t>- obec záujmového územia inovačného pólu rastu vymedzeného prímestským pásmom ťažiska osídlenia 1. stupňa</w:t>
      </w:r>
    </w:p>
    <w:p w:rsidR="00FD2472" w:rsidRPr="00663DF2" w:rsidRDefault="00FD2472" w:rsidP="00FD2472">
      <w:pPr>
        <w:spacing w:before="0" w:after="0"/>
        <w:jc w:val="both"/>
        <w:rPr>
          <w:b w:val="0"/>
          <w:color w:val="842F73" w:themeColor="text2" w:themeShade="BF"/>
          <w:sz w:val="20"/>
        </w:rPr>
      </w:pPr>
      <w:r w:rsidRPr="00663DF2">
        <w:rPr>
          <w:b w:val="0"/>
          <w:color w:val="842F73" w:themeColor="text2" w:themeShade="BF"/>
          <w:sz w:val="20"/>
        </w:rPr>
        <w:t>- obec záujmového územia inovačného pólu rastu vymedzeného ťažiskom osídlenia 2. stupňa</w:t>
      </w:r>
    </w:p>
    <w:p w:rsidR="00FD2472" w:rsidRPr="00663DF2" w:rsidRDefault="00FD2472" w:rsidP="00FD2472">
      <w:pPr>
        <w:spacing w:before="0" w:after="0"/>
        <w:jc w:val="both"/>
        <w:rPr>
          <w:b w:val="0"/>
          <w:color w:val="842F73" w:themeColor="text2" w:themeShade="BF"/>
          <w:sz w:val="20"/>
        </w:rPr>
      </w:pPr>
      <w:r w:rsidRPr="00663DF2">
        <w:rPr>
          <w:b w:val="0"/>
          <w:color w:val="842F73" w:themeColor="text2" w:themeShade="BF"/>
          <w:sz w:val="20"/>
        </w:rPr>
        <w:t>- obec v ostatnom území.</w:t>
      </w:r>
    </w:p>
    <w:p w:rsidR="00FD2472" w:rsidRPr="00663DF2" w:rsidRDefault="00FD2472" w:rsidP="00FD2472">
      <w:pPr>
        <w:spacing w:before="0" w:after="0"/>
        <w:jc w:val="both"/>
        <w:rPr>
          <w:b w:val="0"/>
          <w:color w:val="842F73" w:themeColor="text2" w:themeShade="BF"/>
          <w:sz w:val="20"/>
        </w:rPr>
      </w:pPr>
    </w:p>
    <w:p w:rsidR="00FD2472" w:rsidRPr="00663DF2" w:rsidRDefault="00FD2472" w:rsidP="00FD2472">
      <w:pPr>
        <w:spacing w:before="0" w:after="0"/>
        <w:jc w:val="both"/>
        <w:rPr>
          <w:b w:val="0"/>
          <w:color w:val="842F73" w:themeColor="text2" w:themeShade="BF"/>
          <w:sz w:val="20"/>
        </w:rPr>
      </w:pPr>
    </w:p>
    <w:p w:rsidR="00FD2472" w:rsidRPr="00663DF2" w:rsidRDefault="00FD2472" w:rsidP="00FD2472">
      <w:pPr>
        <w:spacing w:before="0" w:after="0"/>
        <w:jc w:val="both"/>
        <w:rPr>
          <w:bCs/>
          <w:color w:val="842F73" w:themeColor="text2" w:themeShade="BF"/>
          <w:sz w:val="20"/>
        </w:rPr>
      </w:pPr>
      <w:r w:rsidRPr="00663DF2">
        <w:rPr>
          <w:bCs/>
          <w:color w:val="842F73" w:themeColor="text2" w:themeShade="BF"/>
          <w:sz w:val="20"/>
        </w:rPr>
        <w:t>Kritériá výberu pólov rastu</w:t>
      </w:r>
    </w:p>
    <w:p w:rsidR="00FD2472" w:rsidRPr="00663DF2" w:rsidRDefault="00FD2472" w:rsidP="00FD2472">
      <w:pPr>
        <w:spacing w:before="0" w:after="0"/>
        <w:jc w:val="both"/>
        <w:rPr>
          <w:b w:val="0"/>
          <w:color w:val="842F73" w:themeColor="text2" w:themeShade="BF"/>
          <w:sz w:val="20"/>
        </w:rPr>
      </w:pPr>
    </w:p>
    <w:p w:rsidR="00FD2472" w:rsidRPr="00663DF2" w:rsidRDefault="00FD2472" w:rsidP="00FD2472">
      <w:pPr>
        <w:spacing w:before="0" w:after="0"/>
        <w:jc w:val="both"/>
        <w:rPr>
          <w:b w:val="0"/>
          <w:color w:val="842F73" w:themeColor="text2" w:themeShade="BF"/>
          <w:sz w:val="20"/>
        </w:rPr>
      </w:pPr>
      <w:r w:rsidRPr="00663DF2">
        <w:rPr>
          <w:b w:val="0"/>
          <w:color w:val="842F73" w:themeColor="text2" w:themeShade="BF"/>
          <w:sz w:val="20"/>
        </w:rPr>
        <w:t>Navrhované obce ako inovačné a kohézne póly rastu boli vybraté na základe vstupných údajov a nasledovných kritérií:</w:t>
      </w:r>
    </w:p>
    <w:p w:rsidR="00FD2472" w:rsidRDefault="00FD2472" w:rsidP="00FD2472">
      <w:pPr>
        <w:spacing w:before="0" w:after="0"/>
        <w:jc w:val="both"/>
        <w:rPr>
          <w:b w:val="0"/>
          <w:color w:val="842F73" w:themeColor="text2" w:themeShade="BF"/>
          <w:sz w:val="20"/>
        </w:rPr>
      </w:pPr>
    </w:p>
    <w:p w:rsidR="00B167E8" w:rsidRDefault="00B167E8" w:rsidP="00FD2472">
      <w:pPr>
        <w:spacing w:before="0" w:after="0"/>
        <w:jc w:val="both"/>
        <w:rPr>
          <w:b w:val="0"/>
          <w:color w:val="842F73" w:themeColor="text2" w:themeShade="BF"/>
          <w:sz w:val="20"/>
        </w:rPr>
      </w:pPr>
    </w:p>
    <w:p w:rsidR="00B167E8" w:rsidRPr="00663DF2" w:rsidRDefault="00B167E8" w:rsidP="00FD2472">
      <w:pPr>
        <w:spacing w:before="0" w:after="0"/>
        <w:jc w:val="both"/>
        <w:rPr>
          <w:b w:val="0"/>
          <w:color w:val="842F73" w:themeColor="text2" w:themeShade="BF"/>
          <w:sz w:val="20"/>
        </w:rPr>
      </w:pPr>
    </w:p>
    <w:p w:rsidR="00FD2472" w:rsidRPr="00663DF2" w:rsidRDefault="00FD2472" w:rsidP="00FD2472">
      <w:pPr>
        <w:spacing w:before="0" w:after="0"/>
        <w:jc w:val="both"/>
        <w:rPr>
          <w:b w:val="0"/>
          <w:color w:val="842F73" w:themeColor="text2" w:themeShade="BF"/>
          <w:sz w:val="20"/>
        </w:rPr>
      </w:pPr>
      <w:r w:rsidRPr="00663DF2">
        <w:rPr>
          <w:bCs/>
          <w:color w:val="842F73" w:themeColor="text2" w:themeShade="BF"/>
          <w:sz w:val="20"/>
        </w:rPr>
        <w:t>Inovačné póly rastu:</w:t>
      </w:r>
    </w:p>
    <w:p w:rsidR="00FD2472" w:rsidRPr="00663DF2" w:rsidRDefault="00FD2472" w:rsidP="00FD2472">
      <w:pPr>
        <w:spacing w:before="0" w:after="0"/>
        <w:jc w:val="both"/>
        <w:rPr>
          <w:b w:val="0"/>
          <w:color w:val="842F73" w:themeColor="text2" w:themeShade="BF"/>
          <w:sz w:val="20"/>
        </w:rPr>
      </w:pPr>
      <w:r w:rsidRPr="00663DF2">
        <w:rPr>
          <w:b w:val="0"/>
          <w:color w:val="842F73" w:themeColor="text2" w:themeShade="BF"/>
          <w:sz w:val="20"/>
        </w:rPr>
        <w:t>- krajské mesto</w:t>
      </w:r>
    </w:p>
    <w:p w:rsidR="00FD2472" w:rsidRPr="00663DF2" w:rsidRDefault="00FD2472" w:rsidP="00FD2472">
      <w:pPr>
        <w:spacing w:before="0" w:after="0"/>
        <w:jc w:val="both"/>
        <w:rPr>
          <w:b w:val="0"/>
          <w:color w:val="842F73" w:themeColor="text2" w:themeShade="BF"/>
          <w:sz w:val="20"/>
        </w:rPr>
      </w:pPr>
      <w:r w:rsidRPr="00663DF2">
        <w:rPr>
          <w:b w:val="0"/>
          <w:color w:val="842F73" w:themeColor="text2" w:themeShade="BF"/>
          <w:sz w:val="20"/>
        </w:rPr>
        <w:t>- mesto so sídlom obvodu</w:t>
      </w:r>
    </w:p>
    <w:p w:rsidR="00FD2472" w:rsidRPr="00663DF2" w:rsidRDefault="00FD2472" w:rsidP="00FD2472">
      <w:pPr>
        <w:spacing w:before="0" w:after="0"/>
        <w:jc w:val="both"/>
        <w:rPr>
          <w:b w:val="0"/>
          <w:color w:val="842F73" w:themeColor="text2" w:themeShade="BF"/>
          <w:sz w:val="20"/>
        </w:rPr>
      </w:pPr>
      <w:r w:rsidRPr="00663DF2">
        <w:rPr>
          <w:b w:val="0"/>
          <w:color w:val="842F73" w:themeColor="text2" w:themeShade="BF"/>
          <w:sz w:val="20"/>
        </w:rPr>
        <w:t>- mesto s bývalým sídlom okresu</w:t>
      </w:r>
    </w:p>
    <w:p w:rsidR="00FD2472" w:rsidRPr="00663DF2" w:rsidRDefault="00FD2472" w:rsidP="00FD2472">
      <w:pPr>
        <w:spacing w:before="0" w:after="0"/>
        <w:jc w:val="both"/>
        <w:rPr>
          <w:b w:val="0"/>
          <w:color w:val="842F73" w:themeColor="text2" w:themeShade="BF"/>
          <w:sz w:val="20"/>
        </w:rPr>
      </w:pPr>
      <w:r w:rsidRPr="00663DF2">
        <w:rPr>
          <w:b w:val="0"/>
          <w:color w:val="842F73" w:themeColor="text2" w:themeShade="BF"/>
          <w:sz w:val="20"/>
        </w:rPr>
        <w:t>V SR sa v prvom návrhu vymedzilo 72 inovačných pólov rastu a bez Bratislavského kraja ich bolo 68. Zoznam inovačných pólov rastu sa na základe požiadaviek samosprávnych krajov doplnil a spolu sa tak vymedzilo 82 inovačných pólov rastu vrátane Bratislavského kraja a 78 inovačných pólov rastu mimo Bratislavského kraja.</w:t>
      </w:r>
    </w:p>
    <w:p w:rsidR="00FD2472" w:rsidRPr="00663DF2" w:rsidRDefault="00FD2472" w:rsidP="00FD2472">
      <w:pPr>
        <w:spacing w:before="0" w:after="0"/>
        <w:jc w:val="both"/>
        <w:rPr>
          <w:b w:val="0"/>
          <w:color w:val="842F73" w:themeColor="text2" w:themeShade="BF"/>
          <w:sz w:val="20"/>
        </w:rPr>
      </w:pPr>
    </w:p>
    <w:p w:rsidR="00BB0867" w:rsidRPr="00663DF2" w:rsidRDefault="00BB0867" w:rsidP="00FD2472">
      <w:pPr>
        <w:spacing w:before="0" w:after="0"/>
        <w:jc w:val="both"/>
        <w:rPr>
          <w:b w:val="0"/>
          <w:color w:val="842F73" w:themeColor="text2" w:themeShade="BF"/>
          <w:sz w:val="20"/>
        </w:rPr>
      </w:pPr>
    </w:p>
    <w:p w:rsidR="00FD2472" w:rsidRPr="00663DF2" w:rsidRDefault="00FD2472" w:rsidP="00FD2472">
      <w:pPr>
        <w:spacing w:before="0" w:after="0"/>
        <w:jc w:val="both"/>
        <w:rPr>
          <w:b w:val="0"/>
          <w:color w:val="842F73" w:themeColor="text2" w:themeShade="BF"/>
          <w:sz w:val="20"/>
        </w:rPr>
      </w:pPr>
      <w:r w:rsidRPr="00663DF2">
        <w:rPr>
          <w:bCs/>
          <w:color w:val="842F73" w:themeColor="text2" w:themeShade="BF"/>
          <w:sz w:val="20"/>
        </w:rPr>
        <w:t>Kohézne póly rastu:</w:t>
      </w:r>
    </w:p>
    <w:p w:rsidR="00FD2472" w:rsidRPr="00663DF2" w:rsidRDefault="00FD2472" w:rsidP="00FD2472">
      <w:pPr>
        <w:spacing w:before="0" w:after="0"/>
        <w:jc w:val="both"/>
        <w:rPr>
          <w:b w:val="0"/>
          <w:color w:val="842F73" w:themeColor="text2" w:themeShade="BF"/>
          <w:sz w:val="20"/>
        </w:rPr>
      </w:pPr>
      <w:r w:rsidRPr="00663DF2">
        <w:rPr>
          <w:b w:val="0"/>
          <w:color w:val="842F73" w:themeColor="text2" w:themeShade="BF"/>
          <w:sz w:val="20"/>
        </w:rPr>
        <w:t>- obce v ktorých sa súčasne nachádza matričný úrad, spoločný obecný úrad, ZŠ typu 3, bolo bývalým strediskom osídlenia miestneho významu, je ZMOS zvažované ako sídlo spoločného obecného úradu (spolu 92 obcí)</w:t>
      </w:r>
    </w:p>
    <w:p w:rsidR="00FD2472" w:rsidRPr="00663DF2" w:rsidRDefault="00FD2472" w:rsidP="00FD2472">
      <w:pPr>
        <w:spacing w:before="0" w:after="0"/>
        <w:jc w:val="both"/>
        <w:rPr>
          <w:b w:val="0"/>
          <w:color w:val="842F73" w:themeColor="text2" w:themeShade="BF"/>
          <w:sz w:val="20"/>
        </w:rPr>
      </w:pPr>
      <w:r w:rsidRPr="00663DF2">
        <w:rPr>
          <w:b w:val="0"/>
          <w:color w:val="842F73" w:themeColor="text2" w:themeShade="BF"/>
          <w:sz w:val="20"/>
        </w:rPr>
        <w:t>- obce v ktorých sa nachádza ZŠ typu 3 a má viacej ako 100 žiakov (spolu 774 obcí)</w:t>
      </w:r>
    </w:p>
    <w:p w:rsidR="00FD2472" w:rsidRPr="00663DF2" w:rsidRDefault="00FD2472" w:rsidP="00FD2472">
      <w:pPr>
        <w:spacing w:before="0" w:after="0"/>
        <w:jc w:val="both"/>
        <w:rPr>
          <w:b w:val="0"/>
          <w:color w:val="842F73" w:themeColor="text2" w:themeShade="BF"/>
          <w:sz w:val="20"/>
        </w:rPr>
      </w:pPr>
      <w:r w:rsidRPr="00663DF2">
        <w:rPr>
          <w:b w:val="0"/>
          <w:color w:val="842F73" w:themeColor="text2" w:themeShade="BF"/>
          <w:sz w:val="20"/>
        </w:rPr>
        <w:t>- obce v ktorých sa nenachádza ZŠ typu 3 ale majú strednú školu (spolu 9 obcí)</w:t>
      </w:r>
    </w:p>
    <w:p w:rsidR="00FD2472" w:rsidRPr="00663DF2" w:rsidRDefault="00FD2472" w:rsidP="00FD2472">
      <w:pPr>
        <w:spacing w:before="0" w:after="0"/>
        <w:jc w:val="both"/>
        <w:rPr>
          <w:b w:val="0"/>
          <w:color w:val="842F73" w:themeColor="text2" w:themeShade="BF"/>
          <w:sz w:val="20"/>
        </w:rPr>
      </w:pPr>
      <w:r w:rsidRPr="00663DF2">
        <w:rPr>
          <w:b w:val="0"/>
          <w:color w:val="842F73" w:themeColor="text2" w:themeShade="BF"/>
          <w:sz w:val="20"/>
        </w:rPr>
        <w:t>- obce, ktoré nespĺňajú uvedené kritériá a sú väčšie ako 1500 obyvateľov v Prešovskom a Košickom kraji (spolu 17 obcí)</w:t>
      </w:r>
    </w:p>
    <w:p w:rsidR="00FD2472" w:rsidRPr="00663DF2" w:rsidRDefault="00FD2472" w:rsidP="00FD2472">
      <w:pPr>
        <w:spacing w:before="0" w:after="0"/>
        <w:jc w:val="both"/>
        <w:rPr>
          <w:b w:val="0"/>
          <w:color w:val="842F73" w:themeColor="text2" w:themeShade="BF"/>
          <w:sz w:val="20"/>
        </w:rPr>
      </w:pPr>
      <w:r w:rsidRPr="00663DF2">
        <w:rPr>
          <w:b w:val="0"/>
          <w:color w:val="842F73" w:themeColor="text2" w:themeShade="BF"/>
          <w:sz w:val="20"/>
        </w:rPr>
        <w:t>Prienikom uvedených kritérií sa v prvom návrhu vymedzilo v SR spolu 802 kohéznych pólov rastu vrátane Bratislavského kraja. Počet takto vymedzených kohéznych pólov rastu mimo Bratislavského kraja bol 769 obcí. Zoznam kohéznych pólov rastu sa na základe požiadaviek samosprávnych krajov doplnil a spolu sa tak vymedzilo 891 kohéznych pólov rastu vrátane Bratislavského kraja a 858 kohéznych pólov rastu mimo Bratislavského kraja.</w:t>
      </w:r>
    </w:p>
    <w:p w:rsidR="00FD2472" w:rsidRPr="00663DF2" w:rsidRDefault="00FD2472" w:rsidP="00FD2472">
      <w:pPr>
        <w:spacing w:before="0" w:after="0"/>
        <w:jc w:val="both"/>
        <w:rPr>
          <w:b w:val="0"/>
          <w:color w:val="842F73" w:themeColor="text2" w:themeShade="BF"/>
          <w:sz w:val="20"/>
        </w:rPr>
      </w:pPr>
    </w:p>
    <w:p w:rsidR="00BB0867" w:rsidRPr="00663DF2" w:rsidRDefault="00BB0867" w:rsidP="00FD2472">
      <w:pPr>
        <w:spacing w:before="0" w:after="0"/>
        <w:jc w:val="both"/>
        <w:rPr>
          <w:b w:val="0"/>
          <w:color w:val="842F73" w:themeColor="text2" w:themeShade="BF"/>
          <w:sz w:val="20"/>
        </w:rPr>
      </w:pPr>
    </w:p>
    <w:p w:rsidR="00FD2472" w:rsidRPr="00663DF2" w:rsidRDefault="00FD2472" w:rsidP="00FD2472">
      <w:pPr>
        <w:spacing w:before="0" w:after="0"/>
        <w:jc w:val="both"/>
        <w:rPr>
          <w:bCs/>
          <w:color w:val="842F73" w:themeColor="text2" w:themeShade="BF"/>
          <w:sz w:val="20"/>
        </w:rPr>
      </w:pPr>
      <w:r w:rsidRPr="00663DF2">
        <w:rPr>
          <w:bCs/>
          <w:color w:val="842F73" w:themeColor="text2" w:themeShade="BF"/>
          <w:sz w:val="20"/>
        </w:rPr>
        <w:t>Obce, ktoré nie sú pólmi rastu v záujmovom území pólov rastu:</w:t>
      </w:r>
    </w:p>
    <w:p w:rsidR="00FD2472" w:rsidRPr="00663DF2" w:rsidRDefault="00FD2472" w:rsidP="00FD2472">
      <w:pPr>
        <w:spacing w:before="0" w:after="0"/>
        <w:jc w:val="both"/>
        <w:rPr>
          <w:b w:val="0"/>
          <w:color w:val="842F73" w:themeColor="text2" w:themeShade="BF"/>
          <w:sz w:val="20"/>
        </w:rPr>
      </w:pPr>
    </w:p>
    <w:p w:rsidR="00FD2472" w:rsidRPr="00663DF2" w:rsidRDefault="00FD2472" w:rsidP="00FD2472">
      <w:pPr>
        <w:spacing w:before="0" w:after="0"/>
        <w:jc w:val="both"/>
        <w:rPr>
          <w:b w:val="0"/>
          <w:color w:val="842F73" w:themeColor="text2" w:themeShade="BF"/>
          <w:sz w:val="20"/>
        </w:rPr>
      </w:pPr>
      <w:r w:rsidRPr="00663DF2">
        <w:rPr>
          <w:b w:val="0"/>
          <w:color w:val="842F73" w:themeColor="text2" w:themeShade="BF"/>
          <w:sz w:val="20"/>
        </w:rPr>
        <w:t>· obce nachádzajúce sa na území jadrového a prímestského pásma ťažísk osídlenia prvej úrovne</w:t>
      </w:r>
    </w:p>
    <w:p w:rsidR="00FD2472" w:rsidRPr="00663DF2" w:rsidRDefault="00FD2472" w:rsidP="00FD2472">
      <w:pPr>
        <w:spacing w:before="0" w:after="0"/>
        <w:jc w:val="both"/>
        <w:rPr>
          <w:b w:val="0"/>
          <w:color w:val="842F73" w:themeColor="text2" w:themeShade="BF"/>
          <w:sz w:val="20"/>
        </w:rPr>
      </w:pPr>
      <w:r w:rsidRPr="00663DF2">
        <w:rPr>
          <w:b w:val="0"/>
          <w:color w:val="842F73" w:themeColor="text2" w:themeShade="BF"/>
          <w:sz w:val="20"/>
        </w:rPr>
        <w:t>· obce nachádzajúce sa na území ťažísk osídlenia druhej úrovne.</w:t>
      </w:r>
    </w:p>
    <w:p w:rsidR="00FD2472" w:rsidRPr="00663DF2" w:rsidRDefault="00FD2472" w:rsidP="00FD2472">
      <w:pPr>
        <w:spacing w:before="0" w:after="0"/>
        <w:jc w:val="both"/>
        <w:rPr>
          <w:b w:val="0"/>
          <w:color w:val="842F73" w:themeColor="text2" w:themeShade="BF"/>
          <w:sz w:val="20"/>
        </w:rPr>
      </w:pPr>
      <w:r w:rsidRPr="00663DF2">
        <w:rPr>
          <w:b w:val="0"/>
          <w:color w:val="842F73" w:themeColor="text2" w:themeShade="BF"/>
          <w:sz w:val="20"/>
        </w:rPr>
        <w:t>Celkovo pôvodný zoznam vymedzil 412 obcí v SR, ktoré ležia v záujmovom území inovačných pólov rastu a ktoré nie sú ani inovačnými ani kohéznymi pólmi rastu. Mimo Bratislavského kraja bolo takýchto obcí spolu 390. Tento zoznam sa po dohode so samosprávnymi krajmi spresnil na 415 obcí v SR, ktoré ležia v záujmovom území inovačných pólov rastu. Mimo Bratislavského kraja bolo vymedzených 393 ležiacich v záujmovom území inovačných pólov rastu. Kohéznych pólov rastu ležiacich v záujmovom území inovačných pólov rastu je spolu 207 (mimo Bratislavského kraja). Spolu tak v záujmových územiach inovačných pólov rastu leží 600 obcí (mimo Bratislavského kraja).</w:t>
      </w:r>
    </w:p>
    <w:p w:rsidR="00FD2472" w:rsidRPr="00663DF2" w:rsidRDefault="00FD2472" w:rsidP="00FD2472">
      <w:pPr>
        <w:spacing w:before="0" w:after="0"/>
        <w:jc w:val="both"/>
        <w:rPr>
          <w:b w:val="0"/>
          <w:color w:val="842F73" w:themeColor="text2" w:themeShade="BF"/>
          <w:sz w:val="20"/>
        </w:rPr>
      </w:pPr>
    </w:p>
    <w:p w:rsidR="00FD2472" w:rsidRPr="00663DF2" w:rsidRDefault="00FD2472" w:rsidP="00FD2472">
      <w:pPr>
        <w:spacing w:before="0" w:after="0"/>
        <w:jc w:val="both"/>
        <w:rPr>
          <w:b w:val="0"/>
          <w:color w:val="842F73" w:themeColor="text2" w:themeShade="BF"/>
          <w:sz w:val="20"/>
        </w:rPr>
      </w:pPr>
    </w:p>
    <w:p w:rsidR="00FD2472" w:rsidRPr="00663DF2" w:rsidRDefault="00FD2472" w:rsidP="00FD2472">
      <w:pPr>
        <w:spacing w:before="0" w:after="0"/>
        <w:jc w:val="both"/>
        <w:rPr>
          <w:bCs/>
          <w:color w:val="842F73" w:themeColor="text2" w:themeShade="BF"/>
          <w:sz w:val="20"/>
        </w:rPr>
      </w:pPr>
      <w:r w:rsidRPr="00663DF2">
        <w:rPr>
          <w:bCs/>
          <w:color w:val="842F73" w:themeColor="text2" w:themeShade="BF"/>
          <w:sz w:val="20"/>
        </w:rPr>
        <w:t>Obce, ktoré nie sú pólmi rastu mimo záujmového územia inovačných pólov rastu:</w:t>
      </w:r>
    </w:p>
    <w:p w:rsidR="00FD2472" w:rsidRPr="00663DF2" w:rsidRDefault="00FD2472" w:rsidP="00FD2472">
      <w:pPr>
        <w:spacing w:before="0" w:after="0"/>
        <w:jc w:val="both"/>
        <w:rPr>
          <w:b w:val="0"/>
          <w:color w:val="842F73" w:themeColor="text2" w:themeShade="BF"/>
          <w:sz w:val="20"/>
        </w:rPr>
      </w:pPr>
    </w:p>
    <w:p w:rsidR="00FD2472" w:rsidRPr="00663DF2" w:rsidRDefault="00FD2472" w:rsidP="00FD2472">
      <w:pPr>
        <w:spacing w:before="0" w:after="0"/>
        <w:jc w:val="both"/>
        <w:rPr>
          <w:b w:val="0"/>
          <w:color w:val="842F73" w:themeColor="text2" w:themeShade="BF"/>
          <w:sz w:val="20"/>
        </w:rPr>
      </w:pPr>
      <w:r w:rsidRPr="00663DF2">
        <w:rPr>
          <w:b w:val="0"/>
          <w:color w:val="842F73" w:themeColor="text2" w:themeShade="BF"/>
          <w:sz w:val="20"/>
        </w:rPr>
        <w:t>Počet obcí, ktoré nie sú ani inovačnými ani kohéznymi pólmi rastu a ani neležia v záujmovom území inovačných pólov rastu je 1503. Mimo Bratislavského kraja je takýchto obcí 1489.</w:t>
      </w:r>
    </w:p>
    <w:p w:rsidR="00FD2472" w:rsidRPr="00663DF2" w:rsidRDefault="00FD2472" w:rsidP="00FD2472">
      <w:pPr>
        <w:spacing w:before="0" w:after="0"/>
        <w:jc w:val="both"/>
        <w:rPr>
          <w:b w:val="0"/>
          <w:color w:val="842F73" w:themeColor="text2" w:themeShade="BF"/>
          <w:sz w:val="20"/>
        </w:rPr>
      </w:pPr>
      <w:r w:rsidRPr="00663DF2">
        <w:rPr>
          <w:b w:val="0"/>
          <w:color w:val="842F73" w:themeColor="text2" w:themeShade="BF"/>
          <w:sz w:val="20"/>
        </w:rPr>
        <w:t>Obcí, ktoré nie sú ani inovačnými ani kohéznymi pólmi rastu bez ohľadu na ich lokalizáciu (aj tie, ktoré ležia v záujmovom území inovačných pólov rastu) je v SR 1918 a takýchto obcí mimo Bratislavského kraja je 1882. Poznámka: Počet obcí s počtom obyvateľov menším ako 1 000 je v SR spolu 1 946 a v SR mimo Bratislavského kraja je ich 1</w:t>
      </w:r>
      <w:r w:rsidR="003312FB" w:rsidRPr="00663DF2">
        <w:rPr>
          <w:b w:val="0"/>
          <w:color w:val="842F73" w:themeColor="text2" w:themeShade="BF"/>
          <w:sz w:val="20"/>
        </w:rPr>
        <w:t> </w:t>
      </w:r>
      <w:r w:rsidRPr="00663DF2">
        <w:rPr>
          <w:b w:val="0"/>
          <w:color w:val="842F73" w:themeColor="text2" w:themeShade="BF"/>
          <w:sz w:val="20"/>
        </w:rPr>
        <w:t>922.</w:t>
      </w:r>
    </w:p>
    <w:p w:rsidR="003312FB" w:rsidRPr="00663DF2" w:rsidRDefault="003312FB" w:rsidP="00FD2472">
      <w:pPr>
        <w:spacing w:before="0" w:after="0"/>
        <w:jc w:val="both"/>
        <w:rPr>
          <w:b w:val="0"/>
          <w:color w:val="842F73" w:themeColor="text2" w:themeShade="BF"/>
          <w:sz w:val="20"/>
        </w:rPr>
      </w:pPr>
    </w:p>
    <w:p w:rsidR="003312FB" w:rsidRPr="00663DF2" w:rsidRDefault="003312FB" w:rsidP="003312FB">
      <w:pPr>
        <w:spacing w:before="0" w:after="0"/>
        <w:jc w:val="both"/>
        <w:rPr>
          <w:b w:val="0"/>
          <w:color w:val="FF0000"/>
          <w:sz w:val="20"/>
        </w:rPr>
      </w:pPr>
      <w:hyperlink r:id="rId10" w:history="1">
        <w:r w:rsidRPr="00663DF2">
          <w:rPr>
            <w:rStyle w:val="Hypertextovprepojenie"/>
            <w:bCs/>
            <w:color w:val="FF0000"/>
            <w:sz w:val="20"/>
          </w:rPr>
          <w:t>Podrobný zoznam na stiahnutie</w:t>
        </w:r>
      </w:hyperlink>
      <w:r w:rsidRPr="00663DF2">
        <w:rPr>
          <w:bCs/>
          <w:color w:val="FF0000"/>
          <w:sz w:val="20"/>
        </w:rPr>
        <w:t>: na stránke</w:t>
      </w:r>
    </w:p>
    <w:p w:rsidR="003312FB" w:rsidRPr="00663DF2" w:rsidRDefault="003312FB" w:rsidP="00FD2472">
      <w:pPr>
        <w:spacing w:before="0" w:after="0"/>
        <w:jc w:val="both"/>
        <w:rPr>
          <w:b w:val="0"/>
          <w:color w:val="842F73" w:themeColor="text2" w:themeShade="BF"/>
          <w:sz w:val="20"/>
        </w:rPr>
      </w:pPr>
    </w:p>
    <w:p w:rsidR="00FD2472" w:rsidRPr="00663DF2" w:rsidRDefault="00FD2472" w:rsidP="007024DB">
      <w:pPr>
        <w:spacing w:before="0" w:after="0"/>
        <w:jc w:val="both"/>
        <w:rPr>
          <w:b w:val="0"/>
          <w:color w:val="842F73" w:themeColor="text2" w:themeShade="BF"/>
          <w:sz w:val="20"/>
        </w:rPr>
      </w:pPr>
    </w:p>
    <w:p w:rsidR="00150353" w:rsidRPr="00663DF2" w:rsidRDefault="00E169A8" w:rsidP="007024DB">
      <w:pPr>
        <w:spacing w:before="0" w:after="0" w:line="276" w:lineRule="auto"/>
        <w:jc w:val="both"/>
        <w:rPr>
          <w:rStyle w:val="Hypertextovprepojenie"/>
          <w:color w:val="842F73" w:themeColor="text2" w:themeShade="BF"/>
          <w:sz w:val="16"/>
          <w:szCs w:val="16"/>
        </w:rPr>
      </w:pPr>
      <w:r w:rsidRPr="00663DF2">
        <w:rPr>
          <w:color w:val="842F73" w:themeColor="text2" w:themeShade="BF"/>
          <w:sz w:val="16"/>
          <w:szCs w:val="16"/>
        </w:rPr>
        <w:t xml:space="preserve">verejne sprístupnené dielo MEDIA COELI </w:t>
      </w:r>
      <w:r w:rsidRPr="00663DF2">
        <w:rPr>
          <w:color w:val="842F73" w:themeColor="text2" w:themeShade="BF"/>
          <w:sz w:val="16"/>
          <w:szCs w:val="16"/>
          <w:vertAlign w:val="superscript"/>
        </w:rPr>
        <w:t>®</w:t>
      </w:r>
      <w:r w:rsidRPr="00663DF2">
        <w:rPr>
          <w:color w:val="842F73" w:themeColor="text2" w:themeShade="BF"/>
          <w:sz w:val="16"/>
          <w:szCs w:val="16"/>
        </w:rPr>
        <w:t xml:space="preserve"> podmienky: </w:t>
      </w:r>
      <w:hyperlink r:id="rId11" w:history="1">
        <w:r w:rsidR="00AE59CA" w:rsidRPr="00663DF2">
          <w:rPr>
            <w:rStyle w:val="Hypertextovprepojenie"/>
            <w:color w:val="842F73" w:themeColor="text2" w:themeShade="BF"/>
            <w:sz w:val="16"/>
            <w:szCs w:val="16"/>
          </w:rPr>
          <w:t>www.mediacoeli.sk</w:t>
        </w:r>
      </w:hyperlink>
    </w:p>
    <w:p w:rsidR="001F4AB6" w:rsidRPr="00663DF2" w:rsidRDefault="001F4AB6" w:rsidP="007024DB">
      <w:pPr>
        <w:spacing w:before="0" w:after="0" w:line="276" w:lineRule="auto"/>
        <w:jc w:val="both"/>
        <w:rPr>
          <w:color w:val="842F73" w:themeColor="text2" w:themeShade="BF"/>
          <w:sz w:val="16"/>
          <w:szCs w:val="16"/>
        </w:rPr>
      </w:pPr>
    </w:p>
    <w:sdt>
      <w:sdtPr>
        <w:rPr>
          <w:color w:val="842F73" w:themeColor="text2" w:themeShade="BF"/>
          <w:sz w:val="16"/>
          <w:szCs w:val="16"/>
        </w:rPr>
        <w:id w:val="1950342598"/>
        <w:placeholder>
          <w:docPart w:val="DefaultPlaceholder_1082065158"/>
        </w:placeholder>
      </w:sdtPr>
      <w:sdtEndPr>
        <w:rPr>
          <w:color w:val="842F73" w:themeColor="text2" w:themeShade="BF"/>
        </w:rPr>
      </w:sdtEndPr>
      <w:sdtContent>
        <w:bookmarkStart w:id="0" w:name="_GoBack" w:displacedByCustomXml="prev"/>
        <w:p w:rsidR="000F69FA" w:rsidRPr="00663DF2" w:rsidRDefault="000F69FA" w:rsidP="007024DB">
          <w:pPr>
            <w:spacing w:before="0" w:after="0" w:line="276" w:lineRule="auto"/>
            <w:jc w:val="both"/>
            <w:rPr>
              <w:color w:val="842F73" w:themeColor="text2" w:themeShade="BF"/>
              <w:sz w:val="16"/>
              <w:szCs w:val="16"/>
            </w:rPr>
          </w:pPr>
          <w:r w:rsidRPr="00663DF2">
            <w:rPr>
              <w:color w:val="842F73" w:themeColor="text2" w:themeShade="BF"/>
              <w:sz w:val="16"/>
              <w:szCs w:val="16"/>
            </w:rPr>
            <w:t xml:space="preserve">Váš konzultant: </w:t>
          </w:r>
        </w:p>
        <w:p w:rsidR="00495077" w:rsidRPr="00663DF2" w:rsidRDefault="00495077" w:rsidP="007024DB">
          <w:pPr>
            <w:spacing w:before="0" w:after="0" w:line="276" w:lineRule="auto"/>
            <w:jc w:val="both"/>
            <w:rPr>
              <w:color w:val="842F73" w:themeColor="text2" w:themeShade="BF"/>
              <w:sz w:val="16"/>
              <w:szCs w:val="16"/>
            </w:rPr>
          </w:pPr>
        </w:p>
        <w:p w:rsidR="00093E63" w:rsidRPr="00663DF2" w:rsidRDefault="00093E63" w:rsidP="007024DB">
          <w:pPr>
            <w:spacing w:before="0" w:after="0" w:line="276" w:lineRule="auto"/>
            <w:jc w:val="both"/>
            <w:rPr>
              <w:color w:val="842F73" w:themeColor="text2" w:themeShade="BF"/>
              <w:sz w:val="16"/>
              <w:szCs w:val="16"/>
            </w:rPr>
          </w:pPr>
        </w:p>
        <w:p w:rsidR="00FA7ECC" w:rsidRPr="00663DF2" w:rsidRDefault="00662F53" w:rsidP="00FA7ECC">
          <w:pPr>
            <w:spacing w:before="0" w:after="0" w:line="276" w:lineRule="auto"/>
            <w:jc w:val="both"/>
            <w:rPr>
              <w:color w:val="842F73" w:themeColor="text2" w:themeShade="BF"/>
              <w:sz w:val="16"/>
              <w:szCs w:val="16"/>
            </w:rPr>
          </w:pPr>
        </w:p>
        <w:bookmarkEnd w:id="0" w:displacedByCustomXml="next"/>
      </w:sdtContent>
    </w:sdt>
    <w:p w:rsidR="00FA7ECC" w:rsidRPr="00663DF2" w:rsidRDefault="00FA7ECC" w:rsidP="007024DB">
      <w:pPr>
        <w:spacing w:before="0" w:after="0" w:line="276" w:lineRule="auto"/>
        <w:jc w:val="both"/>
        <w:rPr>
          <w:b w:val="0"/>
          <w:color w:val="842F73" w:themeColor="text2" w:themeShade="BF"/>
          <w:sz w:val="16"/>
          <w:szCs w:val="16"/>
        </w:rPr>
      </w:pPr>
    </w:p>
    <w:sectPr w:rsidR="00FA7ECC" w:rsidRPr="00663DF2" w:rsidSect="006203D3">
      <w:headerReference w:type="default" r:id="rId12"/>
      <w:footerReference w:type="default" r:id="rId13"/>
      <w:pgSz w:w="11906" w:h="16838" w:code="9"/>
      <w:pgMar w:top="284" w:right="851" w:bottom="680" w:left="851" w:header="454" w:footer="0" w:gutter="0"/>
      <w:pgNumType w:fmt="numberInDash"/>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2F53" w:rsidRDefault="00662F53" w:rsidP="00F4420D">
      <w:pPr>
        <w:spacing w:after="0"/>
      </w:pPr>
      <w:r>
        <w:separator/>
      </w:r>
    </w:p>
  </w:endnote>
  <w:endnote w:type="continuationSeparator" w:id="0">
    <w:p w:rsidR="00662F53" w:rsidRDefault="00662F53" w:rsidP="00F4420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D4D" w:rsidRDefault="003A4705" w:rsidP="009A5A3B">
    <w:pPr>
      <w:pStyle w:val="Pta"/>
      <w:rPr>
        <w:b w:val="0"/>
        <w:color w:val="A6A6A6" w:themeColor="background1" w:themeShade="A6"/>
        <w:sz w:val="16"/>
        <w:szCs w:val="16"/>
      </w:rPr>
    </w:pPr>
    <w:r w:rsidRPr="009A5A3B">
      <w:rPr>
        <w:color w:val="A6A6A6" w:themeColor="background1" w:themeShade="A6"/>
        <w:sz w:val="16"/>
        <w:szCs w:val="16"/>
      </w:rPr>
      <w:t xml:space="preserve">MEDIA COELI </w:t>
    </w:r>
    <w:r w:rsidRPr="009A5A3B">
      <w:rPr>
        <w:color w:val="A6A6A6" w:themeColor="background1" w:themeShade="A6"/>
        <w:sz w:val="16"/>
        <w:szCs w:val="16"/>
        <w:vertAlign w:val="superscript"/>
      </w:rPr>
      <w:t>®</w:t>
    </w:r>
    <w:r w:rsidRPr="009A5A3B">
      <w:rPr>
        <w:color w:val="A6A6A6" w:themeColor="background1" w:themeShade="A6"/>
        <w:sz w:val="16"/>
        <w:szCs w:val="16"/>
      </w:rPr>
      <w:t xml:space="preserve"> </w:t>
    </w:r>
    <w:hyperlink r:id="rId1" w:history="1">
      <w:r w:rsidRPr="009A5A3B">
        <w:rPr>
          <w:rStyle w:val="Hypertextovprepojenie"/>
          <w:color w:val="A6A6A6" w:themeColor="background1" w:themeShade="A6"/>
          <w:sz w:val="16"/>
          <w:szCs w:val="16"/>
          <w:u w:val="none"/>
        </w:rPr>
        <w:t>www.mediacoeli.sk</w:t>
      </w:r>
    </w:hyperlink>
    <w:r w:rsidRPr="009A5A3B">
      <w:rPr>
        <w:color w:val="A6A6A6" w:themeColor="background1" w:themeShade="A6"/>
        <w:sz w:val="16"/>
        <w:szCs w:val="16"/>
      </w:rPr>
      <w:t xml:space="preserve">                                                                                                       Strana </w:t>
    </w:r>
    <w:r w:rsidRPr="009A5A3B">
      <w:rPr>
        <w:b w:val="0"/>
        <w:color w:val="A6A6A6" w:themeColor="background1" w:themeShade="A6"/>
        <w:sz w:val="16"/>
        <w:szCs w:val="16"/>
      </w:rPr>
      <w:fldChar w:fldCharType="begin"/>
    </w:r>
    <w:r w:rsidRPr="009A5A3B">
      <w:rPr>
        <w:color w:val="A6A6A6" w:themeColor="background1" w:themeShade="A6"/>
        <w:sz w:val="16"/>
        <w:szCs w:val="16"/>
      </w:rPr>
      <w:instrText>PAGE  \* Arabic  \* MERGEFORMAT</w:instrText>
    </w:r>
    <w:r w:rsidRPr="009A5A3B">
      <w:rPr>
        <w:b w:val="0"/>
        <w:color w:val="A6A6A6" w:themeColor="background1" w:themeShade="A6"/>
        <w:sz w:val="16"/>
        <w:szCs w:val="16"/>
      </w:rPr>
      <w:fldChar w:fldCharType="separate"/>
    </w:r>
    <w:r w:rsidR="00662F53" w:rsidRPr="00662F53">
      <w:rPr>
        <w:b w:val="0"/>
        <w:noProof/>
        <w:color w:val="A6A6A6" w:themeColor="background1" w:themeShade="A6"/>
        <w:sz w:val="16"/>
        <w:szCs w:val="16"/>
      </w:rPr>
      <w:t>1</w:t>
    </w:r>
    <w:r w:rsidRPr="009A5A3B">
      <w:rPr>
        <w:b w:val="0"/>
        <w:color w:val="A6A6A6" w:themeColor="background1" w:themeShade="A6"/>
        <w:sz w:val="16"/>
        <w:szCs w:val="16"/>
      </w:rPr>
      <w:fldChar w:fldCharType="end"/>
    </w:r>
    <w:r w:rsidRPr="009A5A3B">
      <w:rPr>
        <w:color w:val="A6A6A6" w:themeColor="background1" w:themeShade="A6"/>
        <w:sz w:val="16"/>
        <w:szCs w:val="16"/>
      </w:rPr>
      <w:t xml:space="preserve"> z </w:t>
    </w:r>
    <w:r w:rsidRPr="009A5A3B">
      <w:rPr>
        <w:b w:val="0"/>
        <w:color w:val="A6A6A6" w:themeColor="background1" w:themeShade="A6"/>
        <w:sz w:val="16"/>
        <w:szCs w:val="16"/>
      </w:rPr>
      <w:fldChar w:fldCharType="begin"/>
    </w:r>
    <w:r w:rsidRPr="009A5A3B">
      <w:rPr>
        <w:color w:val="A6A6A6" w:themeColor="background1" w:themeShade="A6"/>
        <w:sz w:val="16"/>
        <w:szCs w:val="16"/>
      </w:rPr>
      <w:instrText>NUMPAGES  \* Arabic  \* MERGEFORMAT</w:instrText>
    </w:r>
    <w:r w:rsidRPr="009A5A3B">
      <w:rPr>
        <w:b w:val="0"/>
        <w:color w:val="A6A6A6" w:themeColor="background1" w:themeShade="A6"/>
        <w:sz w:val="16"/>
        <w:szCs w:val="16"/>
      </w:rPr>
      <w:fldChar w:fldCharType="separate"/>
    </w:r>
    <w:r w:rsidR="00662F53" w:rsidRPr="00662F53">
      <w:rPr>
        <w:b w:val="0"/>
        <w:noProof/>
        <w:color w:val="A6A6A6" w:themeColor="background1" w:themeShade="A6"/>
        <w:sz w:val="16"/>
        <w:szCs w:val="16"/>
      </w:rPr>
      <w:t>1</w:t>
    </w:r>
    <w:r w:rsidRPr="009A5A3B">
      <w:rPr>
        <w:b w:val="0"/>
        <w:color w:val="A6A6A6" w:themeColor="background1" w:themeShade="A6"/>
        <w:sz w:val="16"/>
        <w:szCs w:val="16"/>
      </w:rPr>
      <w:fldChar w:fldCharType="end"/>
    </w:r>
  </w:p>
  <w:p w:rsidR="00CF3C51" w:rsidRDefault="00CF3C51" w:rsidP="009A5A3B">
    <w:pPr>
      <w:pStyle w:val="Pta"/>
      <w:rPr>
        <w:b w:val="0"/>
        <w:color w:val="A6A6A6" w:themeColor="background1" w:themeShade="A6"/>
        <w:sz w:val="16"/>
        <w:szCs w:val="16"/>
      </w:rPr>
    </w:pPr>
  </w:p>
  <w:p w:rsidR="009A5A3B" w:rsidRPr="009A5A3B" w:rsidRDefault="009A5A3B" w:rsidP="009A5A3B">
    <w:pPr>
      <w:pStyle w:val="Pta"/>
      <w:spacing w:before="0" w:line="276" w:lineRule="auto"/>
      <w:rPr>
        <w:b w:val="0"/>
        <w:color w:val="A6A6A6" w:themeColor="background1" w:themeShade="A6"/>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2F53" w:rsidRDefault="00662F53" w:rsidP="00F4420D">
      <w:pPr>
        <w:spacing w:after="0"/>
      </w:pPr>
      <w:r>
        <w:separator/>
      </w:r>
    </w:p>
  </w:footnote>
  <w:footnote w:type="continuationSeparator" w:id="0">
    <w:p w:rsidR="00662F53" w:rsidRDefault="00662F53" w:rsidP="00F4420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B6C" w:rsidRPr="003E7B6C" w:rsidRDefault="003E7B6C" w:rsidP="003E7B6C">
    <w:pPr>
      <w:spacing w:before="0" w:after="0" w:line="276" w:lineRule="auto"/>
      <w:ind w:left="708" w:firstLine="708"/>
      <w:jc w:val="right"/>
      <w:rPr>
        <w:color w:val="A6A6A6" w:themeColor="background1" w:themeShade="A6"/>
        <w:sz w:val="16"/>
        <w:szCs w:val="16"/>
      </w:rPr>
    </w:pPr>
    <w:r w:rsidRPr="003E7B6C">
      <w:rPr>
        <w:bCs/>
        <w:color w:val="A6A6A6" w:themeColor="background1" w:themeShade="A6"/>
        <w:sz w:val="16"/>
        <w:szCs w:val="16"/>
      </w:rPr>
      <w:t>Vysvetlenie pojmu Póly rastu.</w:t>
    </w:r>
  </w:p>
  <w:p w:rsidR="00F4420D" w:rsidRPr="00A36AFE" w:rsidRDefault="00A36AFE" w:rsidP="00A36AFE">
    <w:pPr>
      <w:spacing w:before="0" w:after="0" w:line="276" w:lineRule="auto"/>
      <w:ind w:left="708" w:firstLine="708"/>
      <w:jc w:val="right"/>
      <w:rPr>
        <w:color w:val="5C1E34" w:themeColor="accent1" w:themeShade="80"/>
        <w:sz w:val="16"/>
        <w:szCs w:val="16"/>
      </w:rPr>
    </w:pPr>
    <w:r w:rsidRPr="00A36AFE">
      <w:rPr>
        <w:color w:val="A6A6A6" w:themeColor="background1" w:themeShade="A6"/>
        <w:sz w:val="16"/>
        <w:szCs w:val="16"/>
      </w:rPr>
      <w:t xml:space="preserve">Informácie: Milena Mrvová - MEDIA COELI </w:t>
    </w:r>
    <w:r w:rsidRPr="00A36AFE">
      <w:rPr>
        <w:color w:val="A6A6A6" w:themeColor="background1" w:themeShade="A6"/>
        <w:sz w:val="16"/>
        <w:szCs w:val="16"/>
        <w:vertAlign w:val="superscript"/>
      </w:rPr>
      <w:t>®</w:t>
    </w:r>
    <w:r w:rsidRPr="00A36AFE">
      <w:rPr>
        <w:color w:val="A6A6A6" w:themeColor="background1" w:themeShade="A6"/>
        <w:sz w:val="16"/>
        <w:szCs w:val="16"/>
      </w:rPr>
      <w:t xml:space="preserve">, Pekárska 11, 917 01 Trnava, Slovakia, </w:t>
    </w:r>
    <w:hyperlink r:id="rId1" w:history="1">
      <w:r w:rsidRPr="00A36AFE">
        <w:rPr>
          <w:rStyle w:val="Hypertextovprepojenie"/>
          <w:color w:val="A6A6A6" w:themeColor="background1" w:themeShade="A6"/>
          <w:sz w:val="16"/>
          <w:szCs w:val="16"/>
          <w:u w:val="none"/>
        </w:rPr>
        <w:t>info@mediacoeli.sk</w:t>
      </w:r>
    </w:hyperlink>
    <w:r w:rsidRPr="00A36AFE">
      <w:rPr>
        <w:color w:val="A6A6A6" w:themeColor="background1" w:themeShade="A6"/>
        <w:sz w:val="16"/>
        <w:szCs w:val="16"/>
      </w:rPr>
      <w:t>, SK, CZ: 00421911907188, English, French, German: 00421904807188</w:t>
    </w:r>
    <w:r w:rsidR="00016469" w:rsidRPr="00261341">
      <w:rPr>
        <w:noProof/>
        <w:sz w:val="20"/>
        <w:lang w:eastAsia="sk-SK"/>
      </w:rPr>
      <w:drawing>
        <wp:anchor distT="0" distB="0" distL="114300" distR="114300" simplePos="0" relativeHeight="251659264" behindDoc="1" locked="1" layoutInCell="1" allowOverlap="0" wp14:anchorId="2CD8F2F5" wp14:editId="19ED6C76">
          <wp:simplePos x="0" y="0"/>
          <wp:positionH relativeFrom="column">
            <wp:posOffset>-45085</wp:posOffset>
          </wp:positionH>
          <wp:positionV relativeFrom="page">
            <wp:posOffset>333375</wp:posOffset>
          </wp:positionV>
          <wp:extent cx="723900" cy="723900"/>
          <wp:effectExtent l="0" t="0" r="0" b="0"/>
          <wp:wrapTight wrapText="bothSides">
            <wp:wrapPolygon edited="0">
              <wp:start x="0" y="0"/>
              <wp:lineTo x="0" y="21032"/>
              <wp:lineTo x="21032" y="21032"/>
              <wp:lineTo x="21032" y="0"/>
              <wp:lineTo x="0" y="0"/>
            </wp:wrapPolygon>
          </wp:wrapTight>
          <wp:docPr id="1" name="Obrázok 1">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 COELI ® logo.gif"/>
                  <pic:cNvPicPr preferRelativeResize="0"/>
                </pic:nvPicPr>
                <pic:blipFill>
                  <a:blip r:embed="rId3"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D6BFB"/>
    <w:multiLevelType w:val="multilevel"/>
    <w:tmpl w:val="A9E06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47F7BB9"/>
    <w:multiLevelType w:val="multilevel"/>
    <w:tmpl w:val="56902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2B140E9"/>
    <w:multiLevelType w:val="hybridMultilevel"/>
    <w:tmpl w:val="862E1A16"/>
    <w:lvl w:ilvl="0" w:tplc="3982B99E">
      <w:numFmt w:val="bullet"/>
      <w:lvlText w:val="-"/>
      <w:lvlJc w:val="left"/>
      <w:pPr>
        <w:ind w:left="720" w:hanging="360"/>
      </w:pPr>
      <w:rPr>
        <w:rFonts w:ascii="Verdana" w:eastAsiaTheme="minorHAnsi" w:hAnsi="Verdana" w:cstheme="minorBidi"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forms" w:enforcement="1" w:cryptProviderType="rsaFull" w:cryptAlgorithmClass="hash" w:cryptAlgorithmType="typeAny" w:cryptAlgorithmSid="4" w:cryptSpinCount="100000" w:hash="yBpHUSjYU37eH+YepYaxH/LdiYc=" w:salt="Gqtks1J8cfnZ5X6n0hC8TQ=="/>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C03"/>
    <w:rsid w:val="00016469"/>
    <w:rsid w:val="00054332"/>
    <w:rsid w:val="00056D9E"/>
    <w:rsid w:val="000770D1"/>
    <w:rsid w:val="000928EF"/>
    <w:rsid w:val="00093E63"/>
    <w:rsid w:val="000F69FA"/>
    <w:rsid w:val="00116E14"/>
    <w:rsid w:val="00135392"/>
    <w:rsid w:val="00150353"/>
    <w:rsid w:val="00157167"/>
    <w:rsid w:val="00164B21"/>
    <w:rsid w:val="00171F91"/>
    <w:rsid w:val="0018154F"/>
    <w:rsid w:val="001932A8"/>
    <w:rsid w:val="001F4AB6"/>
    <w:rsid w:val="00241D19"/>
    <w:rsid w:val="0028147B"/>
    <w:rsid w:val="00310D4D"/>
    <w:rsid w:val="003312FB"/>
    <w:rsid w:val="00336689"/>
    <w:rsid w:val="00336A09"/>
    <w:rsid w:val="00343F10"/>
    <w:rsid w:val="00353059"/>
    <w:rsid w:val="00355AA0"/>
    <w:rsid w:val="00357DD7"/>
    <w:rsid w:val="0036304F"/>
    <w:rsid w:val="0037703B"/>
    <w:rsid w:val="003A4705"/>
    <w:rsid w:val="003E7B6C"/>
    <w:rsid w:val="00460A9F"/>
    <w:rsid w:val="0047619C"/>
    <w:rsid w:val="00495077"/>
    <w:rsid w:val="004B073A"/>
    <w:rsid w:val="004B5637"/>
    <w:rsid w:val="004D5EC9"/>
    <w:rsid w:val="004E3C47"/>
    <w:rsid w:val="00504833"/>
    <w:rsid w:val="0052339A"/>
    <w:rsid w:val="00535445"/>
    <w:rsid w:val="00536A81"/>
    <w:rsid w:val="00542CC6"/>
    <w:rsid w:val="005925B6"/>
    <w:rsid w:val="005A643E"/>
    <w:rsid w:val="005F0051"/>
    <w:rsid w:val="00602EF9"/>
    <w:rsid w:val="006203D3"/>
    <w:rsid w:val="00645C24"/>
    <w:rsid w:val="00662F53"/>
    <w:rsid w:val="00663DF2"/>
    <w:rsid w:val="00673F90"/>
    <w:rsid w:val="00681C33"/>
    <w:rsid w:val="006A0E3C"/>
    <w:rsid w:val="006B6987"/>
    <w:rsid w:val="007024DB"/>
    <w:rsid w:val="0072638E"/>
    <w:rsid w:val="00736B3E"/>
    <w:rsid w:val="007617E7"/>
    <w:rsid w:val="00787A94"/>
    <w:rsid w:val="007C3213"/>
    <w:rsid w:val="00804257"/>
    <w:rsid w:val="00854341"/>
    <w:rsid w:val="00894C03"/>
    <w:rsid w:val="008B031E"/>
    <w:rsid w:val="008B6A15"/>
    <w:rsid w:val="008D6AAF"/>
    <w:rsid w:val="008E1621"/>
    <w:rsid w:val="008F1768"/>
    <w:rsid w:val="0090074C"/>
    <w:rsid w:val="00903B51"/>
    <w:rsid w:val="009270AE"/>
    <w:rsid w:val="009302C4"/>
    <w:rsid w:val="00933269"/>
    <w:rsid w:val="0095065F"/>
    <w:rsid w:val="009715A2"/>
    <w:rsid w:val="00975E71"/>
    <w:rsid w:val="00976F00"/>
    <w:rsid w:val="00977888"/>
    <w:rsid w:val="009A5A3B"/>
    <w:rsid w:val="00A157B4"/>
    <w:rsid w:val="00A36AFE"/>
    <w:rsid w:val="00AA5082"/>
    <w:rsid w:val="00AE59CA"/>
    <w:rsid w:val="00B167E8"/>
    <w:rsid w:val="00B36300"/>
    <w:rsid w:val="00B43241"/>
    <w:rsid w:val="00B96255"/>
    <w:rsid w:val="00BB0867"/>
    <w:rsid w:val="00BE4284"/>
    <w:rsid w:val="00BF6324"/>
    <w:rsid w:val="00BF7C27"/>
    <w:rsid w:val="00C84B9F"/>
    <w:rsid w:val="00C869DB"/>
    <w:rsid w:val="00CA4707"/>
    <w:rsid w:val="00CD484A"/>
    <w:rsid w:val="00CF3C51"/>
    <w:rsid w:val="00D0790B"/>
    <w:rsid w:val="00D10615"/>
    <w:rsid w:val="00D51B96"/>
    <w:rsid w:val="00D80350"/>
    <w:rsid w:val="00DB0B54"/>
    <w:rsid w:val="00E169A8"/>
    <w:rsid w:val="00E268DD"/>
    <w:rsid w:val="00E26E26"/>
    <w:rsid w:val="00E8111B"/>
    <w:rsid w:val="00EA59F7"/>
    <w:rsid w:val="00EC3558"/>
    <w:rsid w:val="00ED751C"/>
    <w:rsid w:val="00F04A00"/>
    <w:rsid w:val="00F10D78"/>
    <w:rsid w:val="00F4420D"/>
    <w:rsid w:val="00F92162"/>
    <w:rsid w:val="00FA7ECC"/>
    <w:rsid w:val="00FD2472"/>
    <w:rsid w:val="00FD2F5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heme="minorHAnsi" w:hAnsi="Verdana" w:cstheme="minorBidi"/>
        <w:lang w:val="sk-SK" w:eastAsia="en-US" w:bidi="ar-SA"/>
      </w:rPr>
    </w:rPrDefault>
    <w:pPrDefault>
      <w:pPr>
        <w:spacing w:before="240"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aliases w:val="ja 1"/>
    <w:qFormat/>
    <w:rsid w:val="00AE59CA"/>
    <w:rPr>
      <w:b/>
      <w:sz w:val="22"/>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4420D"/>
    <w:pPr>
      <w:tabs>
        <w:tab w:val="center" w:pos="4536"/>
        <w:tab w:val="right" w:pos="9072"/>
      </w:tabs>
      <w:spacing w:after="0"/>
    </w:pPr>
  </w:style>
  <w:style w:type="character" w:customStyle="1" w:styleId="HlavikaChar">
    <w:name w:val="Hlavička Char"/>
    <w:basedOn w:val="Predvolenpsmoodseku"/>
    <w:link w:val="Hlavika"/>
    <w:uiPriority w:val="99"/>
    <w:rsid w:val="00F4420D"/>
  </w:style>
  <w:style w:type="paragraph" w:styleId="Pta">
    <w:name w:val="footer"/>
    <w:basedOn w:val="Normlny"/>
    <w:link w:val="PtaChar"/>
    <w:uiPriority w:val="99"/>
    <w:unhideWhenUsed/>
    <w:rsid w:val="00F4420D"/>
    <w:pPr>
      <w:tabs>
        <w:tab w:val="center" w:pos="4536"/>
        <w:tab w:val="right" w:pos="9072"/>
      </w:tabs>
      <w:spacing w:after="0"/>
    </w:pPr>
  </w:style>
  <w:style w:type="character" w:customStyle="1" w:styleId="PtaChar">
    <w:name w:val="Päta Char"/>
    <w:basedOn w:val="Predvolenpsmoodseku"/>
    <w:link w:val="Pta"/>
    <w:uiPriority w:val="99"/>
    <w:rsid w:val="00F4420D"/>
  </w:style>
  <w:style w:type="paragraph" w:styleId="Textbubliny">
    <w:name w:val="Balloon Text"/>
    <w:basedOn w:val="Normlny"/>
    <w:link w:val="TextbublinyChar"/>
    <w:uiPriority w:val="99"/>
    <w:semiHidden/>
    <w:unhideWhenUsed/>
    <w:rsid w:val="00F4420D"/>
    <w:pPr>
      <w:spacing w:after="0"/>
    </w:pPr>
    <w:rPr>
      <w:rFonts w:ascii="Tahoma" w:hAnsi="Tahoma" w:cs="Tahoma"/>
      <w:sz w:val="16"/>
      <w:szCs w:val="16"/>
    </w:rPr>
  </w:style>
  <w:style w:type="character" w:customStyle="1" w:styleId="TextbublinyChar">
    <w:name w:val="Text bubliny Char"/>
    <w:basedOn w:val="Predvolenpsmoodseku"/>
    <w:link w:val="Textbubliny"/>
    <w:uiPriority w:val="99"/>
    <w:semiHidden/>
    <w:rsid w:val="00F4420D"/>
    <w:rPr>
      <w:rFonts w:ascii="Tahoma" w:hAnsi="Tahoma" w:cs="Tahoma"/>
      <w:sz w:val="16"/>
      <w:szCs w:val="16"/>
    </w:rPr>
  </w:style>
  <w:style w:type="paragraph" w:styleId="Normlnywebov">
    <w:name w:val="Normal (Web)"/>
    <w:basedOn w:val="Normlny"/>
    <w:uiPriority w:val="99"/>
    <w:unhideWhenUsed/>
    <w:rsid w:val="00F4420D"/>
    <w:rPr>
      <w:rFonts w:ascii="Times New Roman" w:hAnsi="Times New Roman" w:cs="Times New Roman"/>
      <w:sz w:val="24"/>
      <w:szCs w:val="24"/>
    </w:rPr>
  </w:style>
  <w:style w:type="character" w:styleId="sloriadka">
    <w:name w:val="line number"/>
    <w:basedOn w:val="Predvolenpsmoodseku"/>
    <w:uiPriority w:val="99"/>
    <w:semiHidden/>
    <w:unhideWhenUsed/>
    <w:rsid w:val="008B6A15"/>
  </w:style>
  <w:style w:type="paragraph" w:styleId="Citcia">
    <w:name w:val="Quote"/>
    <w:basedOn w:val="Normlny"/>
    <w:next w:val="Normlny"/>
    <w:link w:val="CitciaChar"/>
    <w:uiPriority w:val="29"/>
    <w:qFormat/>
    <w:rsid w:val="00673F90"/>
    <w:pPr>
      <w:spacing w:line="276" w:lineRule="auto"/>
    </w:pPr>
    <w:rPr>
      <w:rFonts w:asciiTheme="minorHAnsi" w:eastAsiaTheme="minorEastAsia" w:hAnsiTheme="minorHAnsi"/>
      <w:i/>
      <w:iCs/>
      <w:color w:val="000000" w:themeColor="text1"/>
      <w:szCs w:val="22"/>
      <w:lang w:eastAsia="sk-SK"/>
    </w:rPr>
  </w:style>
  <w:style w:type="character" w:customStyle="1" w:styleId="CitciaChar">
    <w:name w:val="Citácia Char"/>
    <w:basedOn w:val="Predvolenpsmoodseku"/>
    <w:link w:val="Citcia"/>
    <w:uiPriority w:val="29"/>
    <w:rsid w:val="00673F90"/>
    <w:rPr>
      <w:rFonts w:asciiTheme="minorHAnsi" w:eastAsiaTheme="minorEastAsia" w:hAnsiTheme="minorHAnsi"/>
      <w:i/>
      <w:iCs/>
      <w:color w:val="000000" w:themeColor="text1"/>
      <w:sz w:val="22"/>
      <w:szCs w:val="22"/>
      <w:lang w:eastAsia="sk-SK"/>
    </w:rPr>
  </w:style>
  <w:style w:type="character" w:styleId="Hypertextovprepojenie">
    <w:name w:val="Hyperlink"/>
    <w:basedOn w:val="Predvolenpsmoodseku"/>
    <w:uiPriority w:val="99"/>
    <w:unhideWhenUsed/>
    <w:rsid w:val="00B43241"/>
    <w:rPr>
      <w:color w:val="FFDE66" w:themeColor="hyperlink"/>
      <w:u w:val="single"/>
    </w:rPr>
  </w:style>
  <w:style w:type="character" w:styleId="Textzstupnhosymbolu">
    <w:name w:val="Placeholder Text"/>
    <w:basedOn w:val="Predvolenpsmoodseku"/>
    <w:uiPriority w:val="99"/>
    <w:semiHidden/>
    <w:rsid w:val="000F69F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heme="minorHAnsi" w:hAnsi="Verdana" w:cstheme="minorBidi"/>
        <w:lang w:val="sk-SK" w:eastAsia="en-US" w:bidi="ar-SA"/>
      </w:rPr>
    </w:rPrDefault>
    <w:pPrDefault>
      <w:pPr>
        <w:spacing w:before="240"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aliases w:val="ja 1"/>
    <w:qFormat/>
    <w:rsid w:val="00AE59CA"/>
    <w:rPr>
      <w:b/>
      <w:sz w:val="22"/>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4420D"/>
    <w:pPr>
      <w:tabs>
        <w:tab w:val="center" w:pos="4536"/>
        <w:tab w:val="right" w:pos="9072"/>
      </w:tabs>
      <w:spacing w:after="0"/>
    </w:pPr>
  </w:style>
  <w:style w:type="character" w:customStyle="1" w:styleId="HlavikaChar">
    <w:name w:val="Hlavička Char"/>
    <w:basedOn w:val="Predvolenpsmoodseku"/>
    <w:link w:val="Hlavika"/>
    <w:uiPriority w:val="99"/>
    <w:rsid w:val="00F4420D"/>
  </w:style>
  <w:style w:type="paragraph" w:styleId="Pta">
    <w:name w:val="footer"/>
    <w:basedOn w:val="Normlny"/>
    <w:link w:val="PtaChar"/>
    <w:uiPriority w:val="99"/>
    <w:unhideWhenUsed/>
    <w:rsid w:val="00F4420D"/>
    <w:pPr>
      <w:tabs>
        <w:tab w:val="center" w:pos="4536"/>
        <w:tab w:val="right" w:pos="9072"/>
      </w:tabs>
      <w:spacing w:after="0"/>
    </w:pPr>
  </w:style>
  <w:style w:type="character" w:customStyle="1" w:styleId="PtaChar">
    <w:name w:val="Päta Char"/>
    <w:basedOn w:val="Predvolenpsmoodseku"/>
    <w:link w:val="Pta"/>
    <w:uiPriority w:val="99"/>
    <w:rsid w:val="00F4420D"/>
  </w:style>
  <w:style w:type="paragraph" w:styleId="Textbubliny">
    <w:name w:val="Balloon Text"/>
    <w:basedOn w:val="Normlny"/>
    <w:link w:val="TextbublinyChar"/>
    <w:uiPriority w:val="99"/>
    <w:semiHidden/>
    <w:unhideWhenUsed/>
    <w:rsid w:val="00F4420D"/>
    <w:pPr>
      <w:spacing w:after="0"/>
    </w:pPr>
    <w:rPr>
      <w:rFonts w:ascii="Tahoma" w:hAnsi="Tahoma" w:cs="Tahoma"/>
      <w:sz w:val="16"/>
      <w:szCs w:val="16"/>
    </w:rPr>
  </w:style>
  <w:style w:type="character" w:customStyle="1" w:styleId="TextbublinyChar">
    <w:name w:val="Text bubliny Char"/>
    <w:basedOn w:val="Predvolenpsmoodseku"/>
    <w:link w:val="Textbubliny"/>
    <w:uiPriority w:val="99"/>
    <w:semiHidden/>
    <w:rsid w:val="00F4420D"/>
    <w:rPr>
      <w:rFonts w:ascii="Tahoma" w:hAnsi="Tahoma" w:cs="Tahoma"/>
      <w:sz w:val="16"/>
      <w:szCs w:val="16"/>
    </w:rPr>
  </w:style>
  <w:style w:type="paragraph" w:styleId="Normlnywebov">
    <w:name w:val="Normal (Web)"/>
    <w:basedOn w:val="Normlny"/>
    <w:uiPriority w:val="99"/>
    <w:unhideWhenUsed/>
    <w:rsid w:val="00F4420D"/>
    <w:rPr>
      <w:rFonts w:ascii="Times New Roman" w:hAnsi="Times New Roman" w:cs="Times New Roman"/>
      <w:sz w:val="24"/>
      <w:szCs w:val="24"/>
    </w:rPr>
  </w:style>
  <w:style w:type="character" w:styleId="sloriadka">
    <w:name w:val="line number"/>
    <w:basedOn w:val="Predvolenpsmoodseku"/>
    <w:uiPriority w:val="99"/>
    <w:semiHidden/>
    <w:unhideWhenUsed/>
    <w:rsid w:val="008B6A15"/>
  </w:style>
  <w:style w:type="paragraph" w:styleId="Citcia">
    <w:name w:val="Quote"/>
    <w:basedOn w:val="Normlny"/>
    <w:next w:val="Normlny"/>
    <w:link w:val="CitciaChar"/>
    <w:uiPriority w:val="29"/>
    <w:qFormat/>
    <w:rsid w:val="00673F90"/>
    <w:pPr>
      <w:spacing w:line="276" w:lineRule="auto"/>
    </w:pPr>
    <w:rPr>
      <w:rFonts w:asciiTheme="minorHAnsi" w:eastAsiaTheme="minorEastAsia" w:hAnsiTheme="minorHAnsi"/>
      <w:i/>
      <w:iCs/>
      <w:color w:val="000000" w:themeColor="text1"/>
      <w:szCs w:val="22"/>
      <w:lang w:eastAsia="sk-SK"/>
    </w:rPr>
  </w:style>
  <w:style w:type="character" w:customStyle="1" w:styleId="CitciaChar">
    <w:name w:val="Citácia Char"/>
    <w:basedOn w:val="Predvolenpsmoodseku"/>
    <w:link w:val="Citcia"/>
    <w:uiPriority w:val="29"/>
    <w:rsid w:val="00673F90"/>
    <w:rPr>
      <w:rFonts w:asciiTheme="minorHAnsi" w:eastAsiaTheme="minorEastAsia" w:hAnsiTheme="minorHAnsi"/>
      <w:i/>
      <w:iCs/>
      <w:color w:val="000000" w:themeColor="text1"/>
      <w:sz w:val="22"/>
      <w:szCs w:val="22"/>
      <w:lang w:eastAsia="sk-SK"/>
    </w:rPr>
  </w:style>
  <w:style w:type="character" w:styleId="Hypertextovprepojenie">
    <w:name w:val="Hyperlink"/>
    <w:basedOn w:val="Predvolenpsmoodseku"/>
    <w:uiPriority w:val="99"/>
    <w:unhideWhenUsed/>
    <w:rsid w:val="00B43241"/>
    <w:rPr>
      <w:color w:val="FFDE66" w:themeColor="hyperlink"/>
      <w:u w:val="single"/>
    </w:rPr>
  </w:style>
  <w:style w:type="character" w:styleId="Textzstupnhosymbolu">
    <w:name w:val="Placeholder Text"/>
    <w:basedOn w:val="Predvolenpsmoodseku"/>
    <w:uiPriority w:val="99"/>
    <w:semiHidden/>
    <w:rsid w:val="000F69F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059793">
      <w:bodyDiv w:val="1"/>
      <w:marLeft w:val="0"/>
      <w:marRight w:val="0"/>
      <w:marTop w:val="0"/>
      <w:marBottom w:val="0"/>
      <w:divBdr>
        <w:top w:val="none" w:sz="0" w:space="0" w:color="auto"/>
        <w:left w:val="none" w:sz="0" w:space="0" w:color="auto"/>
        <w:bottom w:val="none" w:sz="0" w:space="0" w:color="auto"/>
        <w:right w:val="none" w:sz="0" w:space="0" w:color="auto"/>
      </w:divBdr>
    </w:div>
    <w:div w:id="446778235">
      <w:bodyDiv w:val="1"/>
      <w:marLeft w:val="0"/>
      <w:marRight w:val="0"/>
      <w:marTop w:val="0"/>
      <w:marBottom w:val="0"/>
      <w:divBdr>
        <w:top w:val="none" w:sz="0" w:space="0" w:color="auto"/>
        <w:left w:val="none" w:sz="0" w:space="0" w:color="auto"/>
        <w:bottom w:val="none" w:sz="0" w:space="0" w:color="auto"/>
        <w:right w:val="none" w:sz="0" w:space="0" w:color="auto"/>
      </w:divBdr>
    </w:div>
    <w:div w:id="820271594">
      <w:bodyDiv w:val="1"/>
      <w:marLeft w:val="0"/>
      <w:marRight w:val="0"/>
      <w:marTop w:val="0"/>
      <w:marBottom w:val="0"/>
      <w:divBdr>
        <w:top w:val="none" w:sz="0" w:space="0" w:color="auto"/>
        <w:left w:val="none" w:sz="0" w:space="0" w:color="auto"/>
        <w:bottom w:val="none" w:sz="0" w:space="0" w:color="auto"/>
        <w:right w:val="none" w:sz="0" w:space="0" w:color="auto"/>
      </w:divBdr>
    </w:div>
    <w:div w:id="1040593979">
      <w:bodyDiv w:val="1"/>
      <w:marLeft w:val="0"/>
      <w:marRight w:val="0"/>
      <w:marTop w:val="0"/>
      <w:marBottom w:val="0"/>
      <w:divBdr>
        <w:top w:val="none" w:sz="0" w:space="0" w:color="auto"/>
        <w:left w:val="none" w:sz="0" w:space="0" w:color="auto"/>
        <w:bottom w:val="none" w:sz="0" w:space="0" w:color="auto"/>
        <w:right w:val="none" w:sz="0" w:space="0" w:color="auto"/>
      </w:divBdr>
    </w:div>
    <w:div w:id="1492063069">
      <w:bodyDiv w:val="1"/>
      <w:marLeft w:val="0"/>
      <w:marRight w:val="0"/>
      <w:marTop w:val="0"/>
      <w:marBottom w:val="0"/>
      <w:divBdr>
        <w:top w:val="none" w:sz="0" w:space="0" w:color="auto"/>
        <w:left w:val="none" w:sz="0" w:space="0" w:color="auto"/>
        <w:bottom w:val="none" w:sz="0" w:space="0" w:color="auto"/>
        <w:right w:val="none" w:sz="0" w:space="0" w:color="auto"/>
      </w:divBdr>
    </w:div>
    <w:div w:id="1618103671">
      <w:bodyDiv w:val="1"/>
      <w:marLeft w:val="0"/>
      <w:marRight w:val="0"/>
      <w:marTop w:val="0"/>
      <w:marBottom w:val="0"/>
      <w:divBdr>
        <w:top w:val="none" w:sz="0" w:space="0" w:color="auto"/>
        <w:left w:val="none" w:sz="0" w:space="0" w:color="auto"/>
        <w:bottom w:val="none" w:sz="0" w:space="0" w:color="auto"/>
        <w:right w:val="none" w:sz="0" w:space="0" w:color="auto"/>
      </w:divBdr>
    </w:div>
    <w:div w:id="1958485382">
      <w:bodyDiv w:val="1"/>
      <w:marLeft w:val="0"/>
      <w:marRight w:val="0"/>
      <w:marTop w:val="0"/>
      <w:marBottom w:val="0"/>
      <w:divBdr>
        <w:top w:val="none" w:sz="0" w:space="0" w:color="auto"/>
        <w:left w:val="none" w:sz="0" w:space="0" w:color="auto"/>
        <w:bottom w:val="none" w:sz="0" w:space="0" w:color="auto"/>
        <w:right w:val="none" w:sz="0" w:space="0" w:color="auto"/>
      </w:divBdr>
    </w:div>
    <w:div w:id="2088073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ediacoeli.sk/detail-29-mediacoeli_Licen&#269;n&#225;_dohoda_na_verejne_spr&#237;stupnen&#233;_diela_MEDIA_COELI_&#174;.html" TargetMode="External"/><Relationship Id="rId5" Type="http://schemas.microsoft.com/office/2007/relationships/stylesWithEffects" Target="stylesWithEffects.xml"/><Relationship Id="rId15" Type="http://schemas.openxmlformats.org/officeDocument/2006/relationships/glossaryDocument" Target="glossary/document.xml"/><Relationship Id="rId10" Type="http://schemas.openxmlformats.org/officeDocument/2006/relationships/hyperlink" Target="http://www.mediacoeli.sk/detail-125-mediacoeli_Vysvetlenie_pojmu_P&#243;ly_rastu..html"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mediacoeli.s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http://www.mediacoeli.sk" TargetMode="External"/><Relationship Id="rId1" Type="http://schemas.openxmlformats.org/officeDocument/2006/relationships/hyperlink" Target="mailto:info@mediacoeli.sk"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Všeobecné"/>
          <w:gallery w:val="placeholder"/>
        </w:category>
        <w:types>
          <w:type w:val="bbPlcHdr"/>
        </w:types>
        <w:behaviors>
          <w:behavior w:val="content"/>
        </w:behaviors>
        <w:guid w:val="{5BAC8B4C-A294-46E1-AF41-6FA4D51C5D09}"/>
      </w:docPartPr>
      <w:docPartBody>
        <w:p w:rsidR="00717489" w:rsidRDefault="00677726">
          <w:r w:rsidRPr="00042CCB">
            <w:rPr>
              <w:rStyle w:val="Textzstupnhosymbolu"/>
            </w:rPr>
            <w:t>Kliknutím zadáte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726"/>
    <w:rsid w:val="000D76FF"/>
    <w:rsid w:val="003E4284"/>
    <w:rsid w:val="005C3B51"/>
    <w:rsid w:val="00670F02"/>
    <w:rsid w:val="00677726"/>
    <w:rsid w:val="00717489"/>
    <w:rsid w:val="0073796B"/>
    <w:rsid w:val="0086398C"/>
    <w:rsid w:val="00946600"/>
    <w:rsid w:val="00A3700D"/>
    <w:rsid w:val="00D91FD6"/>
    <w:rsid w:val="00DE406D"/>
    <w:rsid w:val="00E43644"/>
    <w:rsid w:val="00E52C02"/>
    <w:rsid w:val="00EC78B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677726"/>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67772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ív Office">
  <a:themeElements>
    <a:clrScheme name="Luxusný">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315B7D8-5083-46C6-A2C4-BB0864304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876</Words>
  <Characters>4994</Characters>
  <Application>Microsoft Office Word</Application>
  <DocSecurity>0</DocSecurity>
  <Lines>41</Lines>
  <Paragraphs>11</Paragraphs>
  <ScaleCrop>false</ScaleCrop>
  <HeadingPairs>
    <vt:vector size="2" baseType="variant">
      <vt:variant>
        <vt:lpstr>Názov</vt:lpstr>
      </vt:variant>
      <vt:variant>
        <vt:i4>1</vt:i4>
      </vt:variant>
    </vt:vector>
  </HeadingPairs>
  <TitlesOfParts>
    <vt:vector size="1" baseType="lpstr">
      <vt:lpstr>Vysvetlenie pojmu Póly rastu.</vt:lpstr>
    </vt:vector>
  </TitlesOfParts>
  <Company>MEDIA COELI ®, Pekárska 11, 917 01 Trnava, Slovakia, info@mediacoeli.sk, SK, CZ: 00421911907188,  English, French, German: 00421904807188, www.mediacoeli.sk</Company>
  <LinksUpToDate>false</LinksUpToDate>
  <CharactersWithSpaces>5859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Vysvetlenie pojmu Póly rastu.</dc:title>
  <dc:creator>Milena Mrvová;MEDIA COELI ®</dc:creator>
  <cp:lastModifiedBy>Milena Mrvová</cp:lastModifiedBy>
  <cp:revision>8</cp:revision>
  <cp:lastPrinted>2013-05-25T07:16:00Z</cp:lastPrinted>
  <dcterms:created xsi:type="dcterms:W3CDTF">2013-05-25T06:53:00Z</dcterms:created>
  <dcterms:modified xsi:type="dcterms:W3CDTF">2013-05-25T07:17:00Z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