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Default="00357DD7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3D3D7D" w:rsidRDefault="003D3D7D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3D3D7D" w:rsidRPr="007024DB" w:rsidRDefault="003D3D7D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7024DB">
        <w:rPr>
          <w:color w:val="5C1E34" w:themeColor="accent1" w:themeShade="80"/>
          <w:sz w:val="20"/>
        </w:rPr>
        <w:t>Plán riadenia zákaziek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7024DB">
        <w:rPr>
          <w:color w:val="5C1E34" w:themeColor="accent1" w:themeShade="80"/>
          <w:sz w:val="20"/>
        </w:rPr>
        <w:t>Naplánovaním riadenia zákaziek zabezpečujeme efektívne procesy v zaobstarávaní tovarov a služieb potrebných pre projekt. Určujeme proces výberu dodávateľov, nákupu a uzatvárania zmlúv. Úlohou plánu riadenia zákaziek je čo najefektívnejšie zaobstarať vstupy potrebné pre projekt a zaručiť zákonnosť zmluvných a zaobstarávacích procesov.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Definícia položiek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Popis všetkých potrebných položiek s jasnou technickou definíciou potrebných na úspešné dokončenie projektu, s relevantným odôvodnením potreby a termínom zaobstarania s ohľadom na časové harmonogramy projektu. Uvádzame aj položky, ktoré máme k dispozícií z interných zdrojov, alebo ich sami zabezpečíme ( napríklad vyrobíme, poskytneme personál, ... ) a nebude ich potrebné zaobstarať, pre ďalšie interné plánovanie z vlastných zdrojov.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Výber typu zmluvných vzťahov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 xml:space="preserve">Opíšeme typy zmlúv aj s jednotlivými podmienkami, ktoré budeme používať na zaobstaranie jednotlivých tovarov, alebo služieb, alebo skupín tovarov a služieb. Pre rôzne položky sú väčšinou vhodné rôzne typy zmlúv a podmienok. K dispozícií je vždy viacero vhodných typov zmlúv a správne nastavenie typu a podmienok je veľmi dôležité pre bezproblémovú a výhodnú realizáciu projektu. 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Určenie spôsobu zaobstarávania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Pre potreby projektu môžeme zaobstarávať potrebné vstupy rôznymi spôsobmi, v prvom rade overíme či je z hľadiska zákonodarstva danej krajiny potrebné použiť verejné obstarávanie ( väčšinou pri štátnej správe, projektoch financovaných z dotačných a grantových schém, financovaní cez finančné mechanizmy, individuálne pri financovaní komerčnými bankami a na základe vlastného dobrovoľného interného rozhodnutia pri investíciách nad určité sumy ). Spôsoby zaobstarania: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verejné obstarávanie</w:t>
      </w:r>
      <w:r w:rsidRPr="007024DB">
        <w:rPr>
          <w:b w:val="0"/>
          <w:color w:val="5C1E34" w:themeColor="accent1" w:themeShade="80"/>
          <w:sz w:val="20"/>
        </w:rPr>
        <w:t xml:space="preserve"> ( dlhotrvajúci a zložitý proces s veľkým množstvom právnych nejasností a možnosťou napadnutia formálnych krokov )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verejná súťaž</w:t>
      </w:r>
      <w:r w:rsidRPr="007024DB">
        <w:rPr>
          <w:b w:val="0"/>
          <w:color w:val="5C1E34" w:themeColor="accent1" w:themeShade="80"/>
          <w:sz w:val="20"/>
        </w:rPr>
        <w:t xml:space="preserve"> ( publikovanie vo vestníku )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 xml:space="preserve">užšia súťaž </w:t>
      </w:r>
      <w:r w:rsidRPr="007024DB">
        <w:rPr>
          <w:b w:val="0"/>
          <w:color w:val="5C1E34" w:themeColor="accent1" w:themeShade="80"/>
          <w:sz w:val="20"/>
        </w:rPr>
        <w:t>( výzva na predloženie ponuky pre 5-20 uchádzačov)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rokovacie konanie so zverejnením</w:t>
      </w:r>
      <w:r w:rsidRPr="007024DB">
        <w:rPr>
          <w:b w:val="0"/>
          <w:color w:val="5C1E34" w:themeColor="accent1" w:themeShade="80"/>
          <w:sz w:val="20"/>
        </w:rPr>
        <w:t xml:space="preserve"> ( výzva na rokovanie pre 3-20 uchádzačov )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rokovacie konania bez zverejnenia</w:t>
      </w:r>
      <w:r w:rsidRPr="007024DB">
        <w:rPr>
          <w:b w:val="0"/>
          <w:color w:val="5C1E34" w:themeColor="accent1" w:themeShade="80"/>
          <w:sz w:val="20"/>
        </w:rPr>
        <w:t xml:space="preserve"> ( utajenie, autorské práva, predĺženie, alebo rozšírenie existujúcej zmluvy, časová tieseň, ...)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Určenie potencionálnych rizík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 xml:space="preserve">Každé zaobstarávanie z externých zdrojov má rizikový potenciál a riadime sa </w:t>
      </w:r>
      <w:hyperlink r:id="rId10" w:history="1">
        <w:r w:rsidRPr="003D3D7D">
          <w:rPr>
            <w:rStyle w:val="Hypertextovprepojenie"/>
            <w:sz w:val="20"/>
            <w14:textFill>
              <w14:gradFill>
                <w14:gsLst>
                  <w14:gs w14:pos="0">
                    <w14:schemeClr w14:val="accent1">
                      <w14:lumMod w14:val="50000"/>
                      <w14:lumOff w14:val="0"/>
                      <w14:shade w14:val="30000"/>
                      <w14:satMod w14:val="115000"/>
                    </w14:schemeClr>
                  </w14:gs>
                  <w14:gs w14:pos="50000">
                    <w14:schemeClr w14:val="accent1">
                      <w14:lumMod w14:val="50000"/>
                      <w14:lumOff w14:val="0"/>
                      <w14:shade w14:val="67500"/>
                      <w14:satMod w14:val="115000"/>
                    </w14:schemeClr>
                  </w14:gs>
                  <w14:gs w14:pos="100000">
                    <w14:schemeClr w14:val="accent1">
                      <w14:lumMod w14:val="50000"/>
                      <w14:lumOff w14:val="0"/>
                      <w14:shade w14:val="100000"/>
                      <w14:satMod w14:val="115000"/>
                    </w14:schemeClr>
                  </w14:gs>
                </w14:gsLst>
                <w14:lin w14:ang="2700000" w14:scaled="0"/>
              </w14:gradFill>
            </w14:textFill>
          </w:rPr>
          <w:t>Plánom riadenia rizík</w:t>
        </w:r>
      </w:hyperlink>
      <w:r w:rsidRPr="007024DB">
        <w:rPr>
          <w:b w:val="0"/>
          <w:color w:val="5C1E34" w:themeColor="accent1" w:themeShade="80"/>
          <w:sz w:val="20"/>
        </w:rPr>
        <w:t xml:space="preserve"> doplneným, ak existujú, o špecifické riziká. Môže sa hlavne jednať o schopnosti a výrobné kapacity dodávateľov, bonity dodávateľov vo finančných inštitúciách, ťažkosti pri verejnom obstarávaní, odchýlky od špecifikácií, nesúlad s platnými zmluvami, nespoľahlivú dopravu, ...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Určenie riadenia potencionálnych rizík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Určíme, ktoré riziká sú vylúčené a ako sa bude dohliadať na prijaté riziká. Môžeme, ale nemusíme poveriť zodpovedné osoby určené v pláne riadenia rizík, alebo môžeme poveriť inú osobu ( interne, alebo externe ). Každé prijaté riziko musí byť schválené vedením projektu a tiež musí byť oboznámené z každým novo objaveným rizikom.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3D3D7D" w:rsidRDefault="003D3D7D" w:rsidP="007024DB">
      <w:pPr>
        <w:spacing w:before="0" w:after="0"/>
        <w:jc w:val="both"/>
        <w:rPr>
          <w:color w:val="5C1E34" w:themeColor="accent1" w:themeShade="80"/>
          <w:sz w:val="20"/>
        </w:rPr>
      </w:pPr>
    </w:p>
    <w:p w:rsidR="003D3D7D" w:rsidRDefault="003D3D7D" w:rsidP="007024DB">
      <w:pPr>
        <w:spacing w:before="0" w:after="0"/>
        <w:jc w:val="both"/>
        <w:rPr>
          <w:color w:val="5C1E34" w:themeColor="accent1" w:themeShade="80"/>
          <w:sz w:val="20"/>
        </w:rPr>
      </w:pPr>
    </w:p>
    <w:p w:rsidR="003D3D7D" w:rsidRDefault="003D3D7D" w:rsidP="007024DB">
      <w:pPr>
        <w:spacing w:before="0" w:after="0"/>
        <w:jc w:val="both"/>
        <w:rPr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Určenie obmedzení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V rámci celého procesu zaobstarávania sa môžu vyskytnúť obmedzenia, ktoré sa nevyhnutne musia stať súčasťou projektu. Stáva tak hlavne pri verejnom obstarávaní a je potrebné s nimi oboznámiť aj dodávateľov. Vyskytujú sa hlavne napríklad obmedzenia: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fixný harmonogram projektu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fixný rozpočet a cena: možnosť zmeny iba v prípade schválenia rozsahu projektu ( pri dotačnom a grantovom financovaní )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nemožnosť navýšiť rozsah prác nad špecifikáciu, bez priamej podpory projektu ( pri verejnom obstarávaní )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nemožnosť zmeny špecifikácie položiek</w:t>
      </w:r>
    </w:p>
    <w:p w:rsidR="007024DB" w:rsidRPr="007024DB" w:rsidRDefault="007024DB" w:rsidP="007024DB">
      <w:pPr>
        <w:numPr>
          <w:ilvl w:val="0"/>
          <w:numId w:val="1"/>
        </w:num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a mnoho iných ( väčšinou pri verejnom obstarávaní a financovaní dotačnými a grantovými schémami )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Určenie procesov schvaľovania zmluvných vzťahov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Účelom tejto časti je definovanie procesu, ktorým sa schvaľujú jednotlivé zmluvy a určenie kto a ako sa podieľa na schvaľovaní. Po analýze nákladov a revízie ponúk z hľadiska stanovených kritérií určíme celý proces. Kompetencie a osoby, ako aj ich počet sa väčšinou líšia v závislosti od typu zmluvy, výšky nákupu a druhu položky.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 xml:space="preserve">Určenie kritérií pre výber 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Kritéria, ktoré nám pomôžu ohodnotiť a následne sa rozhodnúť pre konkrétneho dodávateľa bývajú pri rôznych položkách rôzne, musia však byť dopredu jasne určené. Pre všetky položky spoločné by mali byť následujúce kritériá: 1. kvalita dodávaných tovarov, alebo služieb, 2. schopnosť dodržiavať termíny, 3. predchádzajúce skúsenosti, 4. termín dodania, 5. porovnanie nákladov a kvality medzi dodávateľmi.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Určenie procesu kontroly dodávok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Kontrola dodávok je dôležitou súčasťou celého procesu a zabezpečuje dodržiavanie zmluvných podmienok, eliminuje zdržanie projektu na základe neskorých dodávok a kontrolou kvality dodávok zabezpečíme výslednú kvalitu projektu.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3D3D7D" w:rsidRDefault="007024DB" w:rsidP="007024DB">
      <w:pPr>
        <w:spacing w:before="0" w:after="0"/>
        <w:jc w:val="both"/>
        <w:rPr>
          <w:color w:val="5C1E34" w:themeColor="accent1" w:themeShade="80"/>
          <w:sz w:val="20"/>
        </w:rPr>
      </w:pPr>
      <w:r w:rsidRPr="003D3D7D">
        <w:rPr>
          <w:color w:val="5C1E34" w:themeColor="accent1" w:themeShade="80"/>
          <w:sz w:val="20"/>
        </w:rPr>
        <w:t>Výstupy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plán riadenia zákaziek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tabuľky popisu položiek a zmluvných vzťahov s hodnoteniami, spôsobmi zaobstarania a kompetenciami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harmonogramy dodávok a kontroly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výkonnostné posudzovanie kritérií (metriky)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určenie požiadaviek a obmedzení pre dodávateľov jednotlivých položiek pre potreby ponukového konania, najvhodnejšie s cenovým ohraničením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7024DB">
        <w:rPr>
          <w:b w:val="0"/>
          <w:color w:val="5C1E34" w:themeColor="accent1" w:themeShade="80"/>
          <w:sz w:val="20"/>
        </w:rPr>
        <w:t>štandardizované súťažné podklady</w:t>
      </w:r>
    </w:p>
    <w:p w:rsidR="007024DB" w:rsidRPr="007024DB" w:rsidRDefault="007024DB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95065F" w:rsidRPr="007024DB" w:rsidRDefault="0095065F" w:rsidP="007024DB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150353" w:rsidRPr="003D3D7D" w:rsidRDefault="00E169A8" w:rsidP="007024DB">
      <w:pPr>
        <w:spacing w:before="0" w:after="0" w:line="276" w:lineRule="auto"/>
        <w:jc w:val="both"/>
        <w:rPr>
          <w:rStyle w:val="Hypertextovprepojenie"/>
          <w:color w:val="5C1E34" w:themeColor="accent1" w:themeShade="80"/>
          <w:sz w:val="16"/>
          <w:szCs w:val="16"/>
        </w:rPr>
      </w:pPr>
      <w:r w:rsidRPr="003D3D7D">
        <w:rPr>
          <w:color w:val="5C1E34" w:themeColor="accent1" w:themeShade="80"/>
          <w:sz w:val="16"/>
          <w:szCs w:val="16"/>
        </w:rPr>
        <w:t xml:space="preserve">verejne sprístupnené dielo MEDIA COELI </w:t>
      </w:r>
      <w:r w:rsidRPr="003D3D7D">
        <w:rPr>
          <w:color w:val="5C1E34" w:themeColor="accent1" w:themeShade="80"/>
          <w:sz w:val="16"/>
          <w:szCs w:val="16"/>
          <w:vertAlign w:val="superscript"/>
        </w:rPr>
        <w:t>®</w:t>
      </w:r>
      <w:r w:rsidRPr="003D3D7D">
        <w:rPr>
          <w:color w:val="5C1E34" w:themeColor="accent1" w:themeShade="80"/>
          <w:sz w:val="16"/>
          <w:szCs w:val="16"/>
        </w:rPr>
        <w:t xml:space="preserve"> podmienky: </w:t>
      </w:r>
      <w:hyperlink r:id="rId11" w:history="1">
        <w:r w:rsidR="00AE59CA" w:rsidRPr="003D3D7D">
          <w:rPr>
            <w:rStyle w:val="Hypertextovprepojenie"/>
            <w:color w:val="5C1E34" w:themeColor="accent1" w:themeShade="80"/>
            <w:sz w:val="16"/>
            <w:szCs w:val="16"/>
          </w:rPr>
          <w:t>www.mediacoeli.sk</w:t>
        </w:r>
      </w:hyperlink>
    </w:p>
    <w:p w:rsidR="001F4AB6" w:rsidRPr="003D3D7D" w:rsidRDefault="001F4AB6" w:rsidP="007024DB">
      <w:pPr>
        <w:spacing w:before="0" w:after="0" w:line="276" w:lineRule="auto"/>
        <w:jc w:val="both"/>
        <w:rPr>
          <w:color w:val="5C1E34" w:themeColor="accent1" w:themeShade="80"/>
          <w:sz w:val="16"/>
          <w:szCs w:val="16"/>
        </w:rPr>
      </w:pPr>
    </w:p>
    <w:sdt>
      <w:sdtPr>
        <w:rPr>
          <w:color w:val="5C1E34" w:themeColor="accent1" w:themeShade="8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3D3D7D" w:rsidRDefault="000F69FA" w:rsidP="007024DB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  <w:r w:rsidRPr="003D3D7D">
            <w:rPr>
              <w:color w:val="5C1E34" w:themeColor="accent1" w:themeShade="80"/>
              <w:sz w:val="16"/>
              <w:szCs w:val="16"/>
            </w:rPr>
            <w:t xml:space="preserve">Váš konzultant: </w:t>
          </w:r>
        </w:p>
        <w:p w:rsidR="00495077" w:rsidRPr="003D3D7D" w:rsidRDefault="00495077" w:rsidP="007024DB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</w:p>
        <w:p w:rsidR="00093E63" w:rsidRPr="003D3D7D" w:rsidRDefault="00093E63" w:rsidP="007024DB">
          <w:pPr>
            <w:spacing w:before="0" w:after="0" w:line="276" w:lineRule="auto"/>
            <w:jc w:val="both"/>
            <w:rPr>
              <w:color w:val="5C1E34" w:themeColor="accent1" w:themeShade="80"/>
              <w:sz w:val="16"/>
              <w:szCs w:val="16"/>
            </w:rPr>
          </w:pPr>
        </w:p>
        <w:p w:rsidR="000F69FA" w:rsidRPr="007024DB" w:rsidRDefault="00D27BD0" w:rsidP="007024DB">
          <w:pPr>
            <w:spacing w:before="0" w:after="0" w:line="276" w:lineRule="auto"/>
            <w:jc w:val="both"/>
            <w:rPr>
              <w:b w:val="0"/>
              <w:color w:val="5C1E34" w:themeColor="accent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7024DB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BD0" w:rsidRDefault="00D27BD0" w:rsidP="00F4420D">
      <w:pPr>
        <w:spacing w:after="0"/>
      </w:pPr>
      <w:r>
        <w:separator/>
      </w:r>
    </w:p>
  </w:endnote>
  <w:endnote w:type="continuationSeparator" w:id="0">
    <w:p w:rsidR="00D27BD0" w:rsidRDefault="00D27BD0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D27BD0" w:rsidRPr="00D27BD0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D27BD0" w:rsidRPr="00D27BD0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BD0" w:rsidRDefault="00D27BD0" w:rsidP="00F4420D">
      <w:pPr>
        <w:spacing w:after="0"/>
      </w:pPr>
      <w:r>
        <w:separator/>
      </w:r>
    </w:p>
  </w:footnote>
  <w:footnote w:type="continuationSeparator" w:id="0">
    <w:p w:rsidR="00D27BD0" w:rsidRDefault="00D27BD0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D" w:rsidRPr="003D3D7D" w:rsidRDefault="003D3D7D" w:rsidP="003D3D7D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3D3D7D">
      <w:rPr>
        <w:color w:val="A6A6A6" w:themeColor="background1" w:themeShade="A6"/>
        <w:sz w:val="16"/>
        <w:szCs w:val="16"/>
      </w:rPr>
      <w:t>Plán riadenia zákaziek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1C741D0" wp14:editId="3434BA14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fHFW0dgAsphRiCj7DEnZXpY8PNE=" w:salt="SsizI+6SzkzBe+TV1ThmE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D3D7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25C99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7024DB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27BD0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mediacoeli.sk/detail-10-mediacoeli_Pl&#225;n_riadenia_riz&#237;k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C438D"/>
    <w:rsid w:val="003E4284"/>
    <w:rsid w:val="00670F02"/>
    <w:rsid w:val="00677726"/>
    <w:rsid w:val="00717489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89D41C-F230-4682-A273-6E56A1F58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riadenia zákaziek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riadenia zákaziek</dc:title>
  <dc:creator>Milena Mrvová;MEDIA COELI ®</dc:creator>
  <cp:lastModifiedBy>Milena Mrvová</cp:lastModifiedBy>
  <cp:revision>4</cp:revision>
  <cp:lastPrinted>2013-05-15T13:28:00Z</cp:lastPrinted>
  <dcterms:created xsi:type="dcterms:W3CDTF">2013-05-15T13:26:00Z</dcterms:created>
  <dcterms:modified xsi:type="dcterms:W3CDTF">2013-05-15T13:29:00Z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