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303A21" w:rsidRDefault="00357DD7" w:rsidP="0095065F">
      <w:pPr>
        <w:spacing w:before="0" w:after="0"/>
        <w:rPr>
          <w:color w:val="B14C1D" w:themeColor="accent3" w:themeShade="BF"/>
          <w:sz w:val="20"/>
        </w:rPr>
      </w:pPr>
    </w:p>
    <w:p w:rsidR="00E264B4" w:rsidRPr="00303A21" w:rsidRDefault="00E264B4" w:rsidP="0095065F">
      <w:pPr>
        <w:spacing w:before="0" w:after="0"/>
        <w:rPr>
          <w:color w:val="B14C1D" w:themeColor="accent3" w:themeShade="BF"/>
          <w:sz w:val="20"/>
        </w:rPr>
      </w:pPr>
    </w:p>
    <w:p w:rsidR="00E264B4" w:rsidRDefault="00E264B4" w:rsidP="0095065F">
      <w:pPr>
        <w:spacing w:before="0" w:after="0"/>
        <w:rPr>
          <w:color w:val="B14C1D" w:themeColor="accent3" w:themeShade="BF"/>
          <w:sz w:val="20"/>
        </w:rPr>
      </w:pPr>
    </w:p>
    <w:p w:rsidR="00303A21" w:rsidRPr="00303A21" w:rsidRDefault="00303A21" w:rsidP="0095065F">
      <w:pPr>
        <w:spacing w:before="0" w:after="0"/>
        <w:rPr>
          <w:color w:val="B14C1D" w:themeColor="accent3" w:themeShade="BF"/>
          <w:sz w:val="20"/>
        </w:rPr>
      </w:pPr>
    </w:p>
    <w:p w:rsidR="00C95AE5" w:rsidRPr="00303A21" w:rsidRDefault="00C95AE5" w:rsidP="0095065F">
      <w:pPr>
        <w:spacing w:before="0" w:after="0"/>
        <w:rPr>
          <w:color w:val="B14C1D" w:themeColor="accent3" w:themeShade="BF"/>
          <w:sz w:val="20"/>
        </w:rPr>
      </w:pPr>
    </w:p>
    <w:p w:rsidR="00E264B4" w:rsidRPr="00303A21" w:rsidRDefault="00E264B4" w:rsidP="00E264B4">
      <w:pPr>
        <w:spacing w:before="0" w:after="0"/>
        <w:jc w:val="center"/>
        <w:rPr>
          <w:color w:val="B14C1D" w:themeColor="accent3" w:themeShade="BF"/>
          <w:sz w:val="20"/>
        </w:rPr>
      </w:pPr>
      <w:r w:rsidRPr="00303A21">
        <w:rPr>
          <w:color w:val="B14C1D" w:themeColor="accent3" w:themeShade="BF"/>
          <w:sz w:val="20"/>
        </w:rPr>
        <w:t xml:space="preserve">Dotácie na podporu </w:t>
      </w:r>
      <w:proofErr w:type="spellStart"/>
      <w:r w:rsidRPr="00303A21">
        <w:rPr>
          <w:color w:val="B14C1D" w:themeColor="accent3" w:themeShade="BF"/>
          <w:sz w:val="20"/>
        </w:rPr>
        <w:t>komunitných</w:t>
      </w:r>
      <w:proofErr w:type="spellEnd"/>
      <w:r w:rsidRPr="00303A21">
        <w:rPr>
          <w:color w:val="B14C1D" w:themeColor="accent3" w:themeShade="BF"/>
          <w:sz w:val="20"/>
        </w:rPr>
        <w:t xml:space="preserve"> centier zameraných na posilňovanie sociálnej inklúzie</w:t>
      </w:r>
    </w:p>
    <w:p w:rsidR="00E264B4" w:rsidRPr="00303A21" w:rsidRDefault="00E264B4" w:rsidP="00E264B4">
      <w:pPr>
        <w:spacing w:before="0" w:after="0"/>
        <w:jc w:val="center"/>
        <w:rPr>
          <w:color w:val="B14C1D" w:themeColor="accent3" w:themeShade="BF"/>
          <w:sz w:val="20"/>
        </w:rPr>
      </w:pPr>
      <w:r w:rsidRPr="00303A21">
        <w:rPr>
          <w:color w:val="B14C1D" w:themeColor="accent3" w:themeShade="BF"/>
          <w:sz w:val="20"/>
        </w:rPr>
        <w:t>(len pre schválené Lokálne stratégie komplexného prístupu)</w:t>
      </w:r>
    </w:p>
    <w:p w:rsidR="00E264B4" w:rsidRPr="00303A21" w:rsidRDefault="00E264B4" w:rsidP="00E264B4">
      <w:pPr>
        <w:spacing w:before="0" w:after="0"/>
        <w:rPr>
          <w:color w:val="B14C1D" w:themeColor="accent3" w:themeShade="BF"/>
          <w:sz w:val="18"/>
          <w:szCs w:val="18"/>
        </w:rPr>
      </w:pPr>
    </w:p>
    <w:p w:rsidR="00E264B4" w:rsidRPr="00303A21" w:rsidRDefault="00E264B4" w:rsidP="00E264B4">
      <w:pPr>
        <w:spacing w:before="0" w:after="0"/>
        <w:rPr>
          <w:color w:val="B14C1D" w:themeColor="accent3" w:themeShade="BF"/>
          <w:sz w:val="18"/>
          <w:szCs w:val="18"/>
        </w:rPr>
      </w:pPr>
    </w:p>
    <w:p w:rsidR="00E264B4" w:rsidRPr="00303A21" w:rsidRDefault="00E264B4" w:rsidP="00E264B4">
      <w:pPr>
        <w:spacing w:before="0" w:after="0"/>
        <w:rPr>
          <w:color w:val="B14C1D" w:themeColor="accent3" w:themeShade="BF"/>
          <w:sz w:val="18"/>
          <w:szCs w:val="18"/>
        </w:rPr>
      </w:pPr>
      <w:r w:rsidRPr="00303A21">
        <w:rPr>
          <w:color w:val="B14C1D" w:themeColor="accent3" w:themeShade="BF"/>
          <w:sz w:val="18"/>
          <w:szCs w:val="18"/>
        </w:rPr>
        <w:t>Termín vyhlásenie výzvy:</w:t>
      </w:r>
    </w:p>
    <w:p w:rsidR="00E264B4" w:rsidRPr="00303A21" w:rsidRDefault="00E264B4" w:rsidP="00E264B4">
      <w:pPr>
        <w:spacing w:before="0" w:after="0"/>
        <w:rPr>
          <w:b w:val="0"/>
          <w:color w:val="B14C1D" w:themeColor="accent3" w:themeShade="BF"/>
          <w:sz w:val="18"/>
          <w:szCs w:val="18"/>
        </w:rPr>
      </w:pPr>
      <w:r w:rsidRPr="00303A21">
        <w:rPr>
          <w:b w:val="0"/>
          <w:color w:val="B14C1D" w:themeColor="accent3" w:themeShade="BF"/>
          <w:sz w:val="18"/>
          <w:szCs w:val="18"/>
        </w:rPr>
        <w:t>29.11.2013</w:t>
      </w:r>
    </w:p>
    <w:p w:rsidR="00E264B4" w:rsidRPr="00303A21" w:rsidRDefault="00E264B4" w:rsidP="00E264B4">
      <w:pPr>
        <w:spacing w:before="0" w:after="0"/>
        <w:rPr>
          <w:color w:val="B14C1D" w:themeColor="accent3" w:themeShade="BF"/>
          <w:sz w:val="18"/>
          <w:szCs w:val="18"/>
        </w:rPr>
      </w:pPr>
    </w:p>
    <w:p w:rsidR="00E264B4" w:rsidRPr="00303A21" w:rsidRDefault="00E264B4" w:rsidP="00E264B4">
      <w:pPr>
        <w:spacing w:before="0" w:after="0"/>
        <w:rPr>
          <w:color w:val="B14C1D" w:themeColor="accent3" w:themeShade="BF"/>
          <w:sz w:val="18"/>
          <w:szCs w:val="18"/>
        </w:rPr>
      </w:pPr>
      <w:r w:rsidRPr="00303A21">
        <w:rPr>
          <w:color w:val="B14C1D" w:themeColor="accent3" w:themeShade="BF"/>
          <w:sz w:val="18"/>
          <w:szCs w:val="18"/>
        </w:rPr>
        <w:t>Termín uzavretia výzvy:</w:t>
      </w:r>
    </w:p>
    <w:p w:rsidR="00E264B4" w:rsidRPr="00303A21" w:rsidRDefault="00E264B4" w:rsidP="00E264B4">
      <w:pPr>
        <w:spacing w:before="0" w:after="0"/>
        <w:rPr>
          <w:b w:val="0"/>
          <w:color w:val="B14C1D" w:themeColor="accent3" w:themeShade="BF"/>
          <w:sz w:val="18"/>
          <w:szCs w:val="18"/>
        </w:rPr>
      </w:pPr>
      <w:r w:rsidRPr="00303A21">
        <w:rPr>
          <w:b w:val="0"/>
          <w:color w:val="B14C1D" w:themeColor="accent3" w:themeShade="BF"/>
          <w:sz w:val="18"/>
          <w:szCs w:val="18"/>
        </w:rPr>
        <w:t>10.03.2014</w:t>
      </w:r>
    </w:p>
    <w:p w:rsidR="00E264B4" w:rsidRPr="00303A21" w:rsidRDefault="00E264B4" w:rsidP="00E264B4">
      <w:pPr>
        <w:spacing w:before="0" w:after="0"/>
        <w:jc w:val="both"/>
        <w:rPr>
          <w:color w:val="B14C1D" w:themeColor="accent3" w:themeShade="BF"/>
          <w:sz w:val="18"/>
          <w:szCs w:val="18"/>
        </w:rPr>
      </w:pPr>
    </w:p>
    <w:p w:rsidR="00E264B4" w:rsidRPr="00303A21" w:rsidRDefault="00E264B4" w:rsidP="00E264B4">
      <w:pPr>
        <w:spacing w:before="0" w:after="0"/>
        <w:jc w:val="both"/>
        <w:rPr>
          <w:color w:val="B14C1D" w:themeColor="accent3" w:themeShade="BF"/>
          <w:sz w:val="18"/>
          <w:szCs w:val="18"/>
        </w:rPr>
      </w:pPr>
      <w:r w:rsidRPr="00303A21">
        <w:rPr>
          <w:color w:val="B14C1D" w:themeColor="accent3" w:themeShade="BF"/>
          <w:sz w:val="18"/>
          <w:szCs w:val="18"/>
        </w:rPr>
        <w:t>Kto môže žiadať:</w:t>
      </w:r>
    </w:p>
    <w:p w:rsidR="00E264B4" w:rsidRPr="00303A21" w:rsidRDefault="00E264B4" w:rsidP="00E264B4">
      <w:pPr>
        <w:autoSpaceDE w:val="0"/>
        <w:autoSpaceDN w:val="0"/>
        <w:adjustRightInd w:val="0"/>
        <w:spacing w:before="0" w:after="120" w:line="276" w:lineRule="auto"/>
        <w:jc w:val="both"/>
        <w:rPr>
          <w:rFonts w:eastAsia="Times New Roman" w:cs="Arial"/>
          <w:b w:val="0"/>
          <w:color w:val="B14C1D" w:themeColor="accent3" w:themeShade="BF"/>
          <w:sz w:val="18"/>
          <w:szCs w:val="18"/>
          <w:lang w:eastAsia="sk-SK"/>
        </w:rPr>
      </w:pPr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  <w:t>- obec založená v zmysle zákona č. 369/1990 Zb. o obecnom zriadení v znení neskorších predpisov,</w:t>
      </w:r>
    </w:p>
    <w:p w:rsidR="00E264B4" w:rsidRPr="00303A21" w:rsidRDefault="00E264B4" w:rsidP="00E264B4">
      <w:pPr>
        <w:autoSpaceDE w:val="0"/>
        <w:autoSpaceDN w:val="0"/>
        <w:adjustRightInd w:val="0"/>
        <w:spacing w:before="0" w:after="120" w:line="276" w:lineRule="auto"/>
        <w:jc w:val="both"/>
        <w:rPr>
          <w:rFonts w:eastAsia="Times New Roman" w:cs="Arial"/>
          <w:b w:val="0"/>
          <w:color w:val="B14C1D" w:themeColor="accent3" w:themeShade="BF"/>
          <w:sz w:val="18"/>
          <w:szCs w:val="18"/>
          <w:lang w:eastAsia="sk-SK"/>
        </w:rPr>
      </w:pPr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  <w:lang w:eastAsia="sk-SK"/>
        </w:rPr>
        <w:t>- mestská časť v zmysle zákona č. 401/1990 Zb. o meste Košice v znení neskorších predpisov.</w:t>
      </w:r>
    </w:p>
    <w:p w:rsidR="00E264B4" w:rsidRPr="00303A21" w:rsidRDefault="00E264B4" w:rsidP="00E264B4">
      <w:pPr>
        <w:spacing w:before="0" w:after="120"/>
        <w:jc w:val="both"/>
        <w:rPr>
          <w:rFonts w:eastAsia="Times New Roman" w:cs="Arial"/>
          <w:color w:val="B14C1D" w:themeColor="accent3" w:themeShade="BF"/>
          <w:sz w:val="18"/>
          <w:szCs w:val="18"/>
          <w:lang w:eastAsia="cs-CZ"/>
        </w:rPr>
      </w:pPr>
      <w:r w:rsidRPr="00303A21">
        <w:rPr>
          <w:rFonts w:eastAsia="Times New Roman" w:cs="Arial"/>
          <w:color w:val="B14C1D" w:themeColor="accent3" w:themeShade="BF"/>
          <w:sz w:val="18"/>
          <w:szCs w:val="18"/>
          <w:lang w:eastAsia="cs-CZ"/>
        </w:rPr>
        <w:t>V rámci výzvy sú oprávnenými žiadateľmi výlučne úspešní žiadatelia o poskytnutie podpory Lokálnej stratégie komplexného prístupu v nadväznosti na projekt z opatrenia 2.1 ROP schváleného v rámci Lokálnej stratégie komplexného prístupu.</w:t>
      </w:r>
    </w:p>
    <w:p w:rsidR="00E264B4" w:rsidRPr="00303A21" w:rsidRDefault="00E264B4" w:rsidP="00E264B4">
      <w:pPr>
        <w:spacing w:before="0" w:after="0"/>
        <w:jc w:val="both"/>
        <w:rPr>
          <w:color w:val="B14C1D" w:themeColor="accent3" w:themeShade="BF"/>
          <w:sz w:val="18"/>
          <w:szCs w:val="18"/>
        </w:rPr>
      </w:pPr>
    </w:p>
    <w:p w:rsidR="00E264B4" w:rsidRPr="00303A21" w:rsidRDefault="00E264B4" w:rsidP="00E264B4">
      <w:pPr>
        <w:spacing w:before="0" w:after="0"/>
        <w:jc w:val="both"/>
        <w:rPr>
          <w:color w:val="B14C1D" w:themeColor="accent3" w:themeShade="BF"/>
          <w:sz w:val="18"/>
          <w:szCs w:val="18"/>
        </w:rPr>
      </w:pPr>
      <w:r w:rsidRPr="00303A21">
        <w:rPr>
          <w:color w:val="B14C1D" w:themeColor="accent3" w:themeShade="BF"/>
          <w:sz w:val="18"/>
          <w:szCs w:val="18"/>
        </w:rPr>
        <w:t>Na čo sa dá žiadať:</w:t>
      </w:r>
    </w:p>
    <w:p w:rsidR="00E264B4" w:rsidRPr="00303A21" w:rsidRDefault="00E264B4" w:rsidP="00E264B4">
      <w:pPr>
        <w:tabs>
          <w:tab w:val="left" w:pos="1134"/>
        </w:tabs>
        <w:spacing w:before="0" w:after="120"/>
        <w:ind w:right="70"/>
        <w:jc w:val="both"/>
        <w:rPr>
          <w:rFonts w:eastAsia="Times New Roman" w:cs="Arial"/>
          <w:b w:val="0"/>
          <w:color w:val="B14C1D" w:themeColor="accent3" w:themeShade="BF"/>
          <w:sz w:val="18"/>
          <w:szCs w:val="18"/>
        </w:rPr>
      </w:pPr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</w:rPr>
        <w:t xml:space="preserve">- budovanie, rekonštrukcia, modernizácia a vybavenie </w:t>
      </w:r>
      <w:proofErr w:type="spellStart"/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</w:rPr>
        <w:t>komunitných</w:t>
      </w:r>
      <w:proofErr w:type="spellEnd"/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</w:rPr>
        <w:t xml:space="preserve"> centier ako zariadení občianskej infraštruktúry zameraných na posilňovanie sociálnej inklúzie </w:t>
      </w:r>
    </w:p>
    <w:p w:rsidR="00E264B4" w:rsidRPr="00303A21" w:rsidRDefault="00E264B4" w:rsidP="00E264B4">
      <w:pPr>
        <w:spacing w:before="0" w:after="0"/>
        <w:jc w:val="both"/>
        <w:rPr>
          <w:b w:val="0"/>
          <w:color w:val="B14C1D" w:themeColor="accent3" w:themeShade="BF"/>
          <w:sz w:val="18"/>
          <w:szCs w:val="18"/>
        </w:rPr>
      </w:pPr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  <w:t>- podporné aktivity</w:t>
      </w:r>
    </w:p>
    <w:p w:rsidR="00E264B4" w:rsidRPr="00303A21" w:rsidRDefault="00E264B4" w:rsidP="00E264B4">
      <w:pPr>
        <w:spacing w:before="0" w:after="0"/>
        <w:jc w:val="both"/>
        <w:rPr>
          <w:b w:val="0"/>
          <w:color w:val="B14C1D" w:themeColor="accent3" w:themeShade="BF"/>
          <w:sz w:val="18"/>
          <w:szCs w:val="18"/>
        </w:rPr>
      </w:pPr>
    </w:p>
    <w:p w:rsidR="00E264B4" w:rsidRPr="00303A21" w:rsidRDefault="00E264B4" w:rsidP="00E264B4">
      <w:pPr>
        <w:tabs>
          <w:tab w:val="left" w:pos="1080"/>
        </w:tabs>
        <w:spacing w:before="120" w:after="120"/>
        <w:jc w:val="both"/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</w:pPr>
      <w:r w:rsidRPr="00303A21">
        <w:rPr>
          <w:rFonts w:eastAsia="Times New Roman" w:cs="Arial"/>
          <w:color w:val="B14C1D" w:themeColor="accent3" w:themeShade="BF"/>
          <w:sz w:val="18"/>
          <w:szCs w:val="18"/>
          <w:lang w:eastAsia="cs-CZ"/>
        </w:rPr>
        <w:t>Podrobnejšia charakteristika oprávnených aktivít:</w:t>
      </w:r>
    </w:p>
    <w:p w:rsidR="00E264B4" w:rsidRPr="00303A21" w:rsidRDefault="00E264B4" w:rsidP="00E264B4">
      <w:pPr>
        <w:spacing w:before="0" w:after="0" w:line="276" w:lineRule="auto"/>
        <w:jc w:val="both"/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</w:pPr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  <w:t>- prístavba, nadstavba, stavebné úpravy, budovanie a rekonštrukcia stavieb, napojenie stavieb na inžinierske siete (v zmysle stavebného zákona), vrátane bezbariérových úprav stavieb (</w:t>
      </w:r>
      <w:proofErr w:type="spellStart"/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  <w:t>debarierizácia</w:t>
      </w:r>
      <w:proofErr w:type="spellEnd"/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  <w:t>);</w:t>
      </w:r>
    </w:p>
    <w:p w:rsidR="00E264B4" w:rsidRPr="00303A21" w:rsidRDefault="00E264B4" w:rsidP="00E264B4">
      <w:pPr>
        <w:spacing w:before="0" w:after="0" w:line="276" w:lineRule="auto"/>
        <w:jc w:val="both"/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</w:pPr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  <w:t>- zvyšovanie energetickej hospodárnosti budov – realizácia opatrení na zlepšenie tepelno-izolačných vlastností konštrukcií najmä obnova obvodového plášťa, oprava a výmena strešného plášťa vrátane strešnej krytiny a povrchu plochých striech, oprava a výmena výplňových otvorových konštrukcií, opravy technického, energetického alebo technologického vybavenia a zariadení objektu ako aj výmena jeho súčastí (najmä výmena vykurovacích kotlov a telies a vnútorných inštalačných rozvodov, klimatizačného zariadenia, inštalovanie solárnych panelov tam, kde je to vhodné a pod.);</w:t>
      </w:r>
    </w:p>
    <w:p w:rsidR="00E264B4" w:rsidRPr="00303A21" w:rsidRDefault="00E264B4" w:rsidP="00E264B4">
      <w:pPr>
        <w:spacing w:before="0" w:after="0" w:line="276" w:lineRule="auto"/>
        <w:contextualSpacing/>
        <w:jc w:val="both"/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</w:pPr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  <w:t xml:space="preserve">- výstavba nových stavieb, dokončenie rozostavaných stavieb pre účely budovania nových zariadení </w:t>
      </w:r>
      <w:proofErr w:type="spellStart"/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  <w:t>komunitných</w:t>
      </w:r>
      <w:proofErr w:type="spellEnd"/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  <w:t xml:space="preserve"> centier </w:t>
      </w:r>
    </w:p>
    <w:p w:rsidR="00E264B4" w:rsidRPr="00303A21" w:rsidRDefault="00E264B4" w:rsidP="00E264B4">
      <w:pPr>
        <w:spacing w:before="0" w:after="0" w:line="276" w:lineRule="auto"/>
        <w:jc w:val="both"/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</w:pPr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  <w:t xml:space="preserve">- obstaranie vnútorného a vonkajšieho vybavenia objektu, nevyhnutne súvisiaceho s účelom využitia stavby, vrátane IKT vybavenia; </w:t>
      </w:r>
    </w:p>
    <w:p w:rsidR="00E264B4" w:rsidRPr="00303A21" w:rsidRDefault="00E264B4" w:rsidP="00E264B4">
      <w:pPr>
        <w:spacing w:before="0" w:after="0" w:line="276" w:lineRule="auto"/>
        <w:jc w:val="both"/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</w:pPr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  <w:t>- projektové a inžinierske práce pre projekt.</w:t>
      </w:r>
    </w:p>
    <w:p w:rsidR="00E264B4" w:rsidRPr="00303A21" w:rsidRDefault="00E264B4" w:rsidP="00E264B4">
      <w:pPr>
        <w:spacing w:before="120" w:after="120"/>
        <w:jc w:val="both"/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</w:pPr>
      <w:r w:rsidRPr="00303A21">
        <w:rPr>
          <w:rFonts w:eastAsia="Times New Roman" w:cs="Arial"/>
          <w:color w:val="B14C1D" w:themeColor="accent3" w:themeShade="BF"/>
          <w:sz w:val="18"/>
          <w:szCs w:val="18"/>
          <w:lang w:eastAsia="cs-CZ"/>
        </w:rPr>
        <w:t>poznámka:</w:t>
      </w:r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  <w:t xml:space="preserve"> intervencie do stavebných objektov, ktoré sú nehnuteľnými kultúrnymi pamiatkami, sú nevyhnutne realizované so súhlasom príslušného krajského pamiatkového úradu, pre zaradenie príslušného projektu v súvislosti s podporou pamiatkového objektu je rozhodujúci účel, na ktorý má byť objekt využívaný (napr. </w:t>
      </w:r>
      <w:proofErr w:type="spellStart"/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  <w:t>komunitné</w:t>
      </w:r>
      <w:proofErr w:type="spellEnd"/>
      <w:r w:rsidRPr="00303A21">
        <w:rPr>
          <w:rFonts w:eastAsia="Times New Roman" w:cs="Arial"/>
          <w:b w:val="0"/>
          <w:color w:val="B14C1D" w:themeColor="accent3" w:themeShade="BF"/>
          <w:sz w:val="18"/>
          <w:szCs w:val="18"/>
          <w:lang w:eastAsia="cs-CZ"/>
        </w:rPr>
        <w:t xml:space="preserve"> centrum sídliace v pamiatkovom objekte je podporené v rámci opatrenia 2.1).</w:t>
      </w:r>
    </w:p>
    <w:p w:rsidR="00E264B4" w:rsidRPr="00303A21" w:rsidRDefault="00E264B4" w:rsidP="00E264B4">
      <w:pPr>
        <w:spacing w:before="0" w:after="0"/>
        <w:rPr>
          <w:color w:val="B14C1D" w:themeColor="accent3" w:themeShade="BF"/>
          <w:sz w:val="18"/>
          <w:szCs w:val="18"/>
        </w:rPr>
      </w:pPr>
    </w:p>
    <w:p w:rsidR="00E264B4" w:rsidRPr="00303A21" w:rsidRDefault="00E264B4" w:rsidP="00E264B4">
      <w:pPr>
        <w:spacing w:before="0" w:after="0"/>
        <w:rPr>
          <w:color w:val="B14C1D" w:themeColor="accent3" w:themeShade="BF"/>
          <w:sz w:val="18"/>
          <w:szCs w:val="18"/>
        </w:rPr>
      </w:pPr>
      <w:r w:rsidRPr="00303A21">
        <w:rPr>
          <w:color w:val="B14C1D" w:themeColor="accent3" w:themeShade="BF"/>
          <w:sz w:val="18"/>
          <w:szCs w:val="18"/>
        </w:rPr>
        <w:t>Alokácia výzvy:</w:t>
      </w:r>
    </w:p>
    <w:p w:rsidR="00E264B4" w:rsidRPr="00303A21" w:rsidRDefault="00E264B4" w:rsidP="00E264B4">
      <w:pPr>
        <w:spacing w:before="0" w:after="0"/>
        <w:rPr>
          <w:b w:val="0"/>
          <w:color w:val="B14C1D" w:themeColor="accent3" w:themeShade="BF"/>
          <w:sz w:val="18"/>
          <w:szCs w:val="18"/>
        </w:rPr>
      </w:pPr>
      <w:r w:rsidRPr="00303A21">
        <w:rPr>
          <w:b w:val="0"/>
          <w:color w:val="B14C1D" w:themeColor="accent3" w:themeShade="BF"/>
          <w:sz w:val="18"/>
          <w:szCs w:val="18"/>
        </w:rPr>
        <w:t>12 941 200 EUR</w:t>
      </w:r>
    </w:p>
    <w:p w:rsidR="00E264B4" w:rsidRPr="00303A21" w:rsidRDefault="00E264B4" w:rsidP="00E264B4">
      <w:pPr>
        <w:spacing w:before="0" w:after="0"/>
        <w:rPr>
          <w:color w:val="B14C1D" w:themeColor="accent3" w:themeShade="BF"/>
          <w:sz w:val="18"/>
          <w:szCs w:val="18"/>
        </w:rPr>
      </w:pPr>
    </w:p>
    <w:p w:rsidR="00E264B4" w:rsidRPr="00303A21" w:rsidRDefault="00E264B4" w:rsidP="00E264B4">
      <w:pPr>
        <w:spacing w:before="0" w:after="0"/>
        <w:rPr>
          <w:color w:val="B14C1D" w:themeColor="accent3" w:themeShade="BF"/>
          <w:sz w:val="18"/>
          <w:szCs w:val="18"/>
        </w:rPr>
      </w:pPr>
      <w:r w:rsidRPr="00303A21">
        <w:rPr>
          <w:color w:val="B14C1D" w:themeColor="accent3" w:themeShade="BF"/>
          <w:sz w:val="18"/>
          <w:szCs w:val="18"/>
        </w:rPr>
        <w:t>Viac informácií:</w:t>
      </w:r>
    </w:p>
    <w:p w:rsidR="00E264B4" w:rsidRPr="00303A21" w:rsidRDefault="00E264B4" w:rsidP="00E264B4">
      <w:pPr>
        <w:spacing w:before="0" w:after="0"/>
        <w:rPr>
          <w:b w:val="0"/>
          <w:color w:val="B14C1D" w:themeColor="accent3" w:themeShade="BF"/>
          <w:sz w:val="18"/>
          <w:szCs w:val="18"/>
        </w:rPr>
      </w:pPr>
      <w:hyperlink r:id="rId9" w:history="1">
        <w:r w:rsidRPr="00303A21">
          <w:rPr>
            <w:rStyle w:val="Hypertextovprepojenie"/>
            <w:b w:val="0"/>
            <w:color w:val="B14C1D" w:themeColor="accent3" w:themeShade="BF"/>
            <w:sz w:val="18"/>
            <w:szCs w:val="18"/>
            <w:u w:val="none"/>
          </w:rPr>
          <w:t>http://www.ropka.sk/aktualne-vyzvy/&amp;id=48&amp;page=1</w:t>
        </w:r>
      </w:hyperlink>
      <w:r w:rsidRPr="00303A21">
        <w:rPr>
          <w:b w:val="0"/>
          <w:color w:val="B14C1D" w:themeColor="accent3" w:themeShade="BF"/>
          <w:sz w:val="18"/>
          <w:szCs w:val="18"/>
        </w:rPr>
        <w:t xml:space="preserve"> </w:t>
      </w:r>
    </w:p>
    <w:p w:rsidR="00E264B4" w:rsidRPr="00303A21" w:rsidRDefault="00E264B4" w:rsidP="0095065F">
      <w:pPr>
        <w:spacing w:before="0" w:after="0"/>
        <w:rPr>
          <w:color w:val="B14C1D" w:themeColor="accent3" w:themeShade="BF"/>
          <w:sz w:val="20"/>
        </w:rPr>
      </w:pPr>
    </w:p>
    <w:p w:rsidR="0095065F" w:rsidRPr="00303A21" w:rsidRDefault="0095065F" w:rsidP="0095065F">
      <w:pPr>
        <w:spacing w:before="0" w:after="0"/>
        <w:rPr>
          <w:color w:val="B14C1D" w:themeColor="accent3" w:themeShade="BF"/>
          <w:sz w:val="20"/>
        </w:rPr>
      </w:pPr>
    </w:p>
    <w:p w:rsidR="00150353" w:rsidRPr="00303A21" w:rsidRDefault="00E169A8" w:rsidP="001F4AB6">
      <w:pPr>
        <w:spacing w:before="0" w:after="0" w:line="276" w:lineRule="auto"/>
        <w:rPr>
          <w:rStyle w:val="Hypertextovprepojenie"/>
          <w:color w:val="B14C1D" w:themeColor="accent3" w:themeShade="BF"/>
          <w:sz w:val="16"/>
          <w:szCs w:val="16"/>
        </w:rPr>
      </w:pPr>
      <w:r w:rsidRPr="00303A21">
        <w:rPr>
          <w:color w:val="B14C1D" w:themeColor="accent3" w:themeShade="BF"/>
          <w:sz w:val="16"/>
          <w:szCs w:val="16"/>
        </w:rPr>
        <w:t xml:space="preserve">verejne sprístupnené dielo MEDIA COELI </w:t>
      </w:r>
      <w:r w:rsidRPr="00303A21">
        <w:rPr>
          <w:color w:val="B14C1D" w:themeColor="accent3" w:themeShade="BF"/>
          <w:sz w:val="16"/>
          <w:szCs w:val="16"/>
          <w:vertAlign w:val="superscript"/>
        </w:rPr>
        <w:t>®</w:t>
      </w:r>
      <w:r w:rsidRPr="00303A21">
        <w:rPr>
          <w:color w:val="B14C1D" w:themeColor="accent3" w:themeShade="BF"/>
          <w:sz w:val="16"/>
          <w:szCs w:val="16"/>
        </w:rPr>
        <w:t xml:space="preserve"> podmienky: </w:t>
      </w:r>
      <w:hyperlink r:id="rId10" w:history="1">
        <w:r w:rsidR="00AE59CA" w:rsidRPr="00303A21">
          <w:rPr>
            <w:rStyle w:val="Hypertextovprepojenie"/>
            <w:color w:val="B14C1D" w:themeColor="accent3" w:themeShade="BF"/>
            <w:sz w:val="16"/>
            <w:szCs w:val="16"/>
          </w:rPr>
          <w:t>www.mediacoeli.sk</w:t>
        </w:r>
      </w:hyperlink>
    </w:p>
    <w:p w:rsidR="001F4AB6" w:rsidRPr="00303A21" w:rsidRDefault="001F4AB6" w:rsidP="001F4AB6">
      <w:pPr>
        <w:spacing w:before="0" w:after="0" w:line="276" w:lineRule="auto"/>
        <w:rPr>
          <w:color w:val="B14C1D" w:themeColor="accent3" w:themeShade="BF"/>
          <w:sz w:val="16"/>
          <w:szCs w:val="16"/>
        </w:rPr>
      </w:pPr>
    </w:p>
    <w:sdt>
      <w:sdtPr>
        <w:rPr>
          <w:color w:val="B14C1D" w:themeColor="accent3" w:themeShade="BF"/>
          <w:sz w:val="16"/>
          <w:szCs w:val="16"/>
        </w:rPr>
        <w:id w:val="1950342598"/>
        <w:placeholder>
          <w:docPart w:val="DefaultPlaceholder_1082065158"/>
        </w:placeholder>
      </w:sdtPr>
      <w:sdtEndPr>
        <w:rPr>
          <w:color w:val="B14C1D" w:themeColor="accent3" w:themeShade="BF"/>
        </w:rPr>
      </w:sdtEndPr>
      <w:sdtContent>
        <w:bookmarkStart w:id="0" w:name="_GoBack" w:displacedByCustomXml="prev"/>
        <w:p w:rsidR="000F69FA" w:rsidRPr="00303A21" w:rsidRDefault="000F69FA" w:rsidP="001F4AB6">
          <w:pPr>
            <w:spacing w:before="0" w:after="0" w:line="276" w:lineRule="auto"/>
            <w:rPr>
              <w:color w:val="B14C1D" w:themeColor="accent3" w:themeShade="BF"/>
              <w:sz w:val="16"/>
              <w:szCs w:val="16"/>
            </w:rPr>
          </w:pPr>
          <w:r w:rsidRPr="00303A21">
            <w:rPr>
              <w:color w:val="B14C1D" w:themeColor="accent3" w:themeShade="BF"/>
              <w:sz w:val="16"/>
              <w:szCs w:val="16"/>
            </w:rPr>
            <w:t xml:space="preserve">Váš konzultant: </w:t>
          </w:r>
        </w:p>
        <w:p w:rsidR="00495077" w:rsidRPr="00303A21" w:rsidRDefault="00495077" w:rsidP="001F4AB6">
          <w:pPr>
            <w:spacing w:before="0" w:after="0" w:line="276" w:lineRule="auto"/>
            <w:rPr>
              <w:color w:val="B14C1D" w:themeColor="accent3" w:themeShade="BF"/>
              <w:sz w:val="16"/>
              <w:szCs w:val="16"/>
            </w:rPr>
          </w:pPr>
        </w:p>
        <w:p w:rsidR="00093E63" w:rsidRPr="00303A21" w:rsidRDefault="00093E63" w:rsidP="001F4AB6">
          <w:pPr>
            <w:spacing w:before="0" w:after="0" w:line="276" w:lineRule="auto"/>
            <w:rPr>
              <w:color w:val="B14C1D" w:themeColor="accent3" w:themeShade="BF"/>
              <w:sz w:val="16"/>
              <w:szCs w:val="16"/>
            </w:rPr>
          </w:pPr>
        </w:p>
        <w:p w:rsidR="000F69FA" w:rsidRPr="00303A21" w:rsidRDefault="000B2AEB" w:rsidP="001F4AB6">
          <w:pPr>
            <w:spacing w:before="0" w:after="0" w:line="276" w:lineRule="auto"/>
            <w:rPr>
              <w:color w:val="B14C1D" w:themeColor="accent3" w:themeShade="BF"/>
              <w:sz w:val="16"/>
              <w:szCs w:val="16"/>
            </w:rPr>
          </w:pPr>
        </w:p>
        <w:bookmarkEnd w:id="0" w:displacedByCustomXml="next"/>
      </w:sdtContent>
    </w:sdt>
    <w:sectPr w:rsidR="000F69FA" w:rsidRPr="00303A21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AEB" w:rsidRDefault="000B2AEB" w:rsidP="00F4420D">
      <w:pPr>
        <w:spacing w:after="0"/>
      </w:pPr>
      <w:r>
        <w:separator/>
      </w:r>
    </w:p>
  </w:endnote>
  <w:endnote w:type="continuationSeparator" w:id="0">
    <w:p w:rsidR="000B2AEB" w:rsidRDefault="000B2AEB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D21803" w:rsidRPr="00D21803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D21803" w:rsidRPr="00D21803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AEB" w:rsidRDefault="000B2AEB" w:rsidP="00F4420D">
      <w:pPr>
        <w:spacing w:after="0"/>
      </w:pPr>
      <w:r>
        <w:separator/>
      </w:r>
    </w:p>
  </w:footnote>
  <w:footnote w:type="continuationSeparator" w:id="0">
    <w:p w:rsidR="000B2AEB" w:rsidRDefault="000B2AEB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4B4" w:rsidRPr="00E264B4" w:rsidRDefault="00E264B4" w:rsidP="00E264B4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E264B4">
      <w:rPr>
        <w:color w:val="A6A6A6" w:themeColor="background1" w:themeShade="A6"/>
        <w:sz w:val="16"/>
        <w:szCs w:val="16"/>
      </w:rPr>
      <w:t xml:space="preserve">Dotácie na podporu </w:t>
    </w:r>
    <w:proofErr w:type="spellStart"/>
    <w:r w:rsidRPr="00E264B4">
      <w:rPr>
        <w:color w:val="A6A6A6" w:themeColor="background1" w:themeShade="A6"/>
        <w:sz w:val="16"/>
        <w:szCs w:val="16"/>
      </w:rPr>
      <w:t>komunitných</w:t>
    </w:r>
    <w:proofErr w:type="spellEnd"/>
    <w:r w:rsidRPr="00E264B4">
      <w:rPr>
        <w:color w:val="A6A6A6" w:themeColor="background1" w:themeShade="A6"/>
        <w:sz w:val="16"/>
        <w:szCs w:val="16"/>
      </w:rPr>
      <w:t xml:space="preserve"> centier zameraných na posilňovanie sociálnej inklúzie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 xml:space="preserve">, SK, CZ: 00421911907188, </w:t>
    </w:r>
    <w:proofErr w:type="spellStart"/>
    <w:r w:rsidRPr="00A36AFE">
      <w:rPr>
        <w:color w:val="A6A6A6" w:themeColor="background1" w:themeShade="A6"/>
        <w:sz w:val="16"/>
        <w:szCs w:val="16"/>
      </w:rPr>
      <w:t>English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French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German</w:t>
    </w:r>
    <w:proofErr w:type="spellEnd"/>
    <w:r w:rsidRPr="00A36AFE">
      <w:rPr>
        <w:color w:val="A6A6A6" w:themeColor="background1" w:themeShade="A6"/>
        <w:sz w:val="16"/>
        <w:szCs w:val="16"/>
      </w:rPr>
      <w:t>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60862E82" wp14:editId="16B31A81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3vV2Ch2uLQW2JqYtjqlmxMuqbfI=" w:salt="6M03W2ex9NJ/qrfc/CuMB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B2AEB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2C4725"/>
    <w:rsid w:val="00303A21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602EF9"/>
    <w:rsid w:val="006203D3"/>
    <w:rsid w:val="00645C24"/>
    <w:rsid w:val="00673F90"/>
    <w:rsid w:val="00681C33"/>
    <w:rsid w:val="006B6987"/>
    <w:rsid w:val="0072638E"/>
    <w:rsid w:val="00736B3E"/>
    <w:rsid w:val="007617E7"/>
    <w:rsid w:val="00787A94"/>
    <w:rsid w:val="007C3213"/>
    <w:rsid w:val="00804257"/>
    <w:rsid w:val="00854341"/>
    <w:rsid w:val="00867B57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95AE5"/>
    <w:rsid w:val="00CA4707"/>
    <w:rsid w:val="00CD484A"/>
    <w:rsid w:val="00CF3C51"/>
    <w:rsid w:val="00D0790B"/>
    <w:rsid w:val="00D10615"/>
    <w:rsid w:val="00D21803"/>
    <w:rsid w:val="00D51B96"/>
    <w:rsid w:val="00D80350"/>
    <w:rsid w:val="00DB0B54"/>
    <w:rsid w:val="00E169A8"/>
    <w:rsid w:val="00E264B4"/>
    <w:rsid w:val="00E268DD"/>
    <w:rsid w:val="00E26E26"/>
    <w:rsid w:val="00E8111B"/>
    <w:rsid w:val="00E976CD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pka.sk/aktualne-vyzvy/&amp;id=48&amp;page=1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670F02"/>
    <w:rsid w:val="00677726"/>
    <w:rsid w:val="00717489"/>
    <w:rsid w:val="0086398C"/>
    <w:rsid w:val="00A3700D"/>
    <w:rsid w:val="00AA2E39"/>
    <w:rsid w:val="00BC0A04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C37DBD6-B715-4DA5-A4B5-17256593B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Dotácie na podporu komunitných centier zameraných na posilňovanie sociálnej inklúzie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Dotácie na podporu komunitných centier zameraných na posilňovanie sociálnej inklúzie</dc:title>
  <dc:creator>MEDIA COELI ®</dc:creator>
  <cp:lastModifiedBy>Milena Mrvová</cp:lastModifiedBy>
  <cp:revision>5</cp:revision>
  <cp:lastPrinted>2013-12-04T13:40:00Z</cp:lastPrinted>
  <dcterms:created xsi:type="dcterms:W3CDTF">2013-12-04T13:23:00Z</dcterms:created>
  <dcterms:modified xsi:type="dcterms:W3CDTF">2013-12-04T13:41:00Z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